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67" w:rsidRPr="00593DAE" w:rsidRDefault="00C63267" w:rsidP="00C63267">
      <w:pPr>
        <w:pStyle w:val="Heading1"/>
        <w:rPr>
          <w:b/>
          <w:sz w:val="44"/>
          <w:szCs w:val="44"/>
        </w:rPr>
      </w:pPr>
      <w:r w:rsidRPr="00593DAE">
        <w:rPr>
          <w:b/>
          <w:sz w:val="44"/>
          <w:szCs w:val="44"/>
        </w:rPr>
        <w:t xml:space="preserve">SDG </w:t>
      </w:r>
      <w:proofErr w:type="gramStart"/>
      <w:r w:rsidRPr="00593DAE">
        <w:rPr>
          <w:b/>
          <w:sz w:val="44"/>
          <w:szCs w:val="44"/>
        </w:rPr>
        <w:t xml:space="preserve">6  </w:t>
      </w:r>
      <w:r w:rsidR="00593DAE" w:rsidRPr="00593DAE">
        <w:rPr>
          <w:b/>
          <w:sz w:val="44"/>
          <w:szCs w:val="44"/>
        </w:rPr>
        <w:t>-</w:t>
      </w:r>
      <w:proofErr w:type="gramEnd"/>
      <w:r w:rsidR="00593DAE" w:rsidRPr="00593DAE">
        <w:rPr>
          <w:b/>
          <w:sz w:val="44"/>
          <w:szCs w:val="44"/>
        </w:rPr>
        <w:t xml:space="preserve"> </w:t>
      </w:r>
      <w:r w:rsidRPr="00593DAE">
        <w:rPr>
          <w:b/>
          <w:sz w:val="44"/>
          <w:szCs w:val="44"/>
        </w:rPr>
        <w:t>TARGETS 6.1 (</w:t>
      </w:r>
      <w:r w:rsidR="002F7F71" w:rsidRPr="00593DAE">
        <w:rPr>
          <w:b/>
          <w:sz w:val="44"/>
          <w:szCs w:val="44"/>
        </w:rPr>
        <w:t>Safe Drinking Water For All</w:t>
      </w:r>
      <w:r w:rsidRPr="00593DAE">
        <w:rPr>
          <w:b/>
          <w:sz w:val="44"/>
          <w:szCs w:val="44"/>
        </w:rPr>
        <w:t>) &amp; 6.2 (Sanitation</w:t>
      </w:r>
      <w:r w:rsidR="002F7F71" w:rsidRPr="00593DAE">
        <w:rPr>
          <w:b/>
          <w:sz w:val="44"/>
          <w:szCs w:val="44"/>
        </w:rPr>
        <w:t xml:space="preserve"> For All</w:t>
      </w:r>
      <w:r w:rsidRPr="00593DAE">
        <w:rPr>
          <w:b/>
          <w:sz w:val="44"/>
          <w:szCs w:val="44"/>
        </w:rPr>
        <w:t>)</w:t>
      </w:r>
    </w:p>
    <w:p w:rsidR="00593DAE" w:rsidRDefault="00593DAE" w:rsidP="00C63267">
      <w:pPr>
        <w:spacing w:before="100" w:beforeAutospacing="1" w:after="100" w:afterAutospacing="1" w:line="240" w:lineRule="auto"/>
        <w:rPr>
          <w:rFonts w:asciiTheme="majorHAnsi" w:eastAsiaTheme="majorEastAsia" w:hAnsiTheme="majorHAnsi" w:cstheme="majorBidi"/>
          <w:b/>
          <w:color w:val="2F5496" w:themeColor="accent1" w:themeShade="BF"/>
          <w:sz w:val="36"/>
          <w:szCs w:val="36"/>
        </w:rPr>
      </w:pPr>
    </w:p>
    <w:p w:rsidR="00C63267" w:rsidRPr="00C63267" w:rsidRDefault="00C63267" w:rsidP="00C63267">
      <w:pPr>
        <w:spacing w:before="100" w:beforeAutospacing="1" w:after="100" w:afterAutospacing="1" w:line="240" w:lineRule="auto"/>
        <w:rPr>
          <w:rFonts w:asciiTheme="majorHAnsi" w:eastAsiaTheme="majorEastAsia" w:hAnsiTheme="majorHAnsi" w:cstheme="majorBidi"/>
          <w:b/>
          <w:color w:val="2F5496" w:themeColor="accent1" w:themeShade="BF"/>
          <w:sz w:val="36"/>
          <w:szCs w:val="36"/>
        </w:rPr>
      </w:pPr>
      <w:r w:rsidRPr="00C63267">
        <w:rPr>
          <w:rFonts w:asciiTheme="majorHAnsi" w:eastAsiaTheme="majorEastAsia" w:hAnsiTheme="majorHAnsi" w:cstheme="majorBidi"/>
          <w:b/>
          <w:color w:val="2F5496" w:themeColor="accent1" w:themeShade="BF"/>
          <w:sz w:val="36"/>
          <w:szCs w:val="36"/>
        </w:rPr>
        <w:t xml:space="preserve">BACKGROUND </w:t>
      </w:r>
    </w:p>
    <w:p w:rsidR="00C63267" w:rsidRPr="00800094" w:rsidRDefault="00C63267" w:rsidP="00593DAE">
      <w:pPr>
        <w:spacing w:after="0" w:line="360" w:lineRule="auto"/>
        <w:jc w:val="both"/>
        <w:rPr>
          <w:sz w:val="24"/>
          <w:szCs w:val="24"/>
        </w:rPr>
      </w:pPr>
      <w:r w:rsidRPr="00800094">
        <w:rPr>
          <w:sz w:val="24"/>
          <w:szCs w:val="24"/>
        </w:rPr>
        <w:t>During 2015, South Africa presented its final report on the state of the progress the country has made in rolling back poverty in all its forms, as agreed upon globally and initiated in 2000, called the Millennium Development Goals (MDGs). This 15-year process covered the tracking of eradication</w:t>
      </w:r>
      <w:r>
        <w:rPr>
          <w:sz w:val="24"/>
          <w:szCs w:val="24"/>
        </w:rPr>
        <w:t xml:space="preserve"> of</w:t>
      </w:r>
      <w:r w:rsidRPr="00800094">
        <w:rPr>
          <w:sz w:val="24"/>
          <w:szCs w:val="24"/>
        </w:rPr>
        <w:t xml:space="preserve"> poverty in a number of dimensions, measured across 8 basic areas or goals. Since then the global community has adopted a further set of development issues to continue and expand the work of the MDGs. This set of aspirations is termed the Sustainable Development Goals (SDGs) and will come to fruition in 2030. The SDGs are both an extension and an expansion of the work done under the MDGs; in particular, the number of goals increased from 8 to 17, the number of targets increased from 20 to 169 and the indicator suite increased from 60 to 230. </w:t>
      </w:r>
    </w:p>
    <w:p w:rsidR="00C63267" w:rsidRPr="00800094" w:rsidRDefault="00C63267" w:rsidP="00593DAE">
      <w:pPr>
        <w:spacing w:after="0" w:line="360" w:lineRule="auto"/>
        <w:jc w:val="both"/>
        <w:rPr>
          <w:sz w:val="24"/>
          <w:szCs w:val="24"/>
        </w:rPr>
      </w:pPr>
      <w:r w:rsidRPr="00800094">
        <w:rPr>
          <w:sz w:val="24"/>
          <w:szCs w:val="24"/>
        </w:rPr>
        <w:t>What we have found from our experience in populating the indicator for SDG 6 is the essential difference between the MDG and SDG indicators is that of method of implementation. During the MDG process South Africa developed its skills in indicator development and putting in systems to monitor and evaluate. What the SDGs in bringing to the mix is that of method of implementation where the Target and its accompanying Indicator at times seems to be mutually exclusive. This requires that the target needs to be understood to understand the linkages it has with the indicator and invariably it</w:t>
      </w:r>
      <w:r>
        <w:rPr>
          <w:sz w:val="24"/>
          <w:szCs w:val="24"/>
        </w:rPr>
        <w:t>s</w:t>
      </w:r>
      <w:r w:rsidRPr="00800094">
        <w:rPr>
          <w:sz w:val="24"/>
          <w:szCs w:val="24"/>
        </w:rPr>
        <w:t xml:space="preserve"> linkage can be found in the method of implementation. This is particularly true in the case of indicator 6a.</w:t>
      </w:r>
    </w:p>
    <w:p w:rsidR="00C63267" w:rsidRPr="00800094" w:rsidRDefault="00C63267" w:rsidP="00593DAE">
      <w:pPr>
        <w:spacing w:before="100" w:beforeAutospacing="1" w:after="0" w:line="360" w:lineRule="auto"/>
        <w:jc w:val="both"/>
        <w:rPr>
          <w:sz w:val="24"/>
          <w:szCs w:val="24"/>
        </w:rPr>
      </w:pPr>
      <w:r w:rsidRPr="00800094">
        <w:rPr>
          <w:sz w:val="24"/>
          <w:szCs w:val="24"/>
        </w:rPr>
        <w:t>The water and sanitation indicators which have been overseen by the JMP from the MD</w:t>
      </w:r>
      <w:r>
        <w:rPr>
          <w:sz w:val="24"/>
          <w:szCs w:val="24"/>
        </w:rPr>
        <w:t>G process through to the SDG have</w:t>
      </w:r>
      <w:r w:rsidRPr="00800094">
        <w:rPr>
          <w:sz w:val="24"/>
          <w:szCs w:val="24"/>
        </w:rPr>
        <w:t xml:space="preserve"> evolved to include a global monitoring ladder. JMP have recently updated their </w:t>
      </w:r>
      <w:hyperlink r:id="rId5" w:history="1">
        <w:r w:rsidRPr="00800094">
          <w:t>www.washdata.org</w:t>
        </w:r>
      </w:hyperlink>
      <w:r w:rsidRPr="00800094">
        <w:rPr>
          <w:sz w:val="24"/>
          <w:szCs w:val="24"/>
        </w:rPr>
        <w:t xml:space="preserve"> site and updated the MDG indicators South Africa p</w:t>
      </w:r>
      <w:r>
        <w:rPr>
          <w:sz w:val="24"/>
          <w:szCs w:val="24"/>
        </w:rPr>
        <w:t>resented in their MDG report.</w:t>
      </w:r>
      <w:r w:rsidRPr="00800094">
        <w:rPr>
          <w:sz w:val="24"/>
          <w:szCs w:val="24"/>
        </w:rPr>
        <w:t xml:space="preserve"> </w:t>
      </w:r>
      <w:r>
        <w:rPr>
          <w:sz w:val="24"/>
          <w:szCs w:val="24"/>
        </w:rPr>
        <w:t>U</w:t>
      </w:r>
      <w:r w:rsidRPr="00800094">
        <w:rPr>
          <w:sz w:val="24"/>
          <w:szCs w:val="24"/>
        </w:rPr>
        <w:t xml:space="preserve">sing the new water and sanitation ladder </w:t>
      </w:r>
      <w:r>
        <w:rPr>
          <w:sz w:val="24"/>
          <w:szCs w:val="24"/>
        </w:rPr>
        <w:t xml:space="preserve">they </w:t>
      </w:r>
      <w:r w:rsidRPr="00800094">
        <w:rPr>
          <w:sz w:val="24"/>
          <w:szCs w:val="24"/>
        </w:rPr>
        <w:t>presented that information according to the SDG ladder as set out below:</w:t>
      </w:r>
    </w:p>
    <w:p w:rsidR="00C63267" w:rsidRDefault="00C63267" w:rsidP="00593DAE">
      <w:pPr>
        <w:spacing w:after="0"/>
        <w:rPr>
          <w:sz w:val="24"/>
          <w:szCs w:val="24"/>
        </w:rPr>
      </w:pPr>
      <w:r>
        <w:rPr>
          <w:noProof/>
          <w:sz w:val="24"/>
          <w:szCs w:val="24"/>
          <w:lang w:val="en-GB" w:eastAsia="en-GB"/>
        </w:rPr>
        <w:lastRenderedPageBreak/>
        <w:drawing>
          <wp:inline distT="0" distB="0" distL="0" distR="0">
            <wp:extent cx="5926455" cy="2876550"/>
            <wp:effectExtent l="0" t="0" r="4445" b="635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10-14 at 19.54.23.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26455" cy="2876550"/>
                    </a:xfrm>
                    <a:prstGeom prst="rect">
                      <a:avLst/>
                    </a:prstGeom>
                  </pic:spPr>
                </pic:pic>
              </a:graphicData>
            </a:graphic>
          </wp:inline>
        </w:drawing>
      </w:r>
    </w:p>
    <w:p w:rsidR="00C63267" w:rsidRDefault="00C63267" w:rsidP="00593DAE">
      <w:pPr>
        <w:spacing w:after="0" w:line="360" w:lineRule="auto"/>
        <w:jc w:val="both"/>
        <w:rPr>
          <w:sz w:val="24"/>
          <w:szCs w:val="24"/>
        </w:rPr>
      </w:pPr>
      <w:r>
        <w:rPr>
          <w:sz w:val="24"/>
          <w:szCs w:val="24"/>
        </w:rPr>
        <w:t>The MDG indicator for access to an improve water source is the SDG indicators of basic and limited (summation). During the 15 year period basic (improved within 30 min) access to water improved by 8% and no access together with unimproved access improved by 8%. Limited access; yellow in above chart (i.e. access to a tap but greater than 200 meters from the place of residence) remained constant during the period under review.</w:t>
      </w:r>
    </w:p>
    <w:p w:rsidR="00C63267" w:rsidRDefault="00C63267" w:rsidP="00593DAE">
      <w:pPr>
        <w:spacing w:after="0"/>
        <w:rPr>
          <w:sz w:val="24"/>
          <w:szCs w:val="24"/>
        </w:rPr>
      </w:pPr>
      <w:r>
        <w:rPr>
          <w:noProof/>
          <w:sz w:val="24"/>
          <w:szCs w:val="24"/>
          <w:lang w:val="en-GB" w:eastAsia="en-GB"/>
        </w:rPr>
        <w:drawing>
          <wp:inline distT="0" distB="0" distL="0" distR="0">
            <wp:extent cx="5926455" cy="2846070"/>
            <wp:effectExtent l="0" t="0" r="4445"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10-14 at 20.24.56.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26455" cy="2846070"/>
                    </a:xfrm>
                    <a:prstGeom prst="rect">
                      <a:avLst/>
                    </a:prstGeom>
                  </pic:spPr>
                </pic:pic>
              </a:graphicData>
            </a:graphic>
          </wp:inline>
        </w:drawing>
      </w:r>
    </w:p>
    <w:p w:rsidR="00C63267" w:rsidRPr="00596120" w:rsidRDefault="00C63267" w:rsidP="00593DAE">
      <w:pPr>
        <w:spacing w:after="0" w:line="360" w:lineRule="auto"/>
        <w:jc w:val="both"/>
        <w:rPr>
          <w:sz w:val="24"/>
          <w:szCs w:val="24"/>
        </w:rPr>
      </w:pPr>
      <w:r>
        <w:rPr>
          <w:sz w:val="24"/>
          <w:szCs w:val="24"/>
        </w:rPr>
        <w:t xml:space="preserve">Sanitation has shown good access to basic sanitation growing by 14% over 15 years. Of interest is the growth in how much the access to improved sanitation has grown from 13% in 2000 to 17% in 2015. This is evidence of the urbanisation rate that has taken place over the last 15 years in South Africa. Of tremendous interest at the latest </w:t>
      </w:r>
      <w:proofErr w:type="spellStart"/>
      <w:r>
        <w:rPr>
          <w:sz w:val="24"/>
          <w:szCs w:val="24"/>
        </w:rPr>
        <w:t>AfricaSan</w:t>
      </w:r>
      <w:proofErr w:type="spellEnd"/>
      <w:r>
        <w:rPr>
          <w:sz w:val="24"/>
          <w:szCs w:val="24"/>
        </w:rPr>
        <w:t xml:space="preserve"> meeting in South Africa at the end of September 2018, </w:t>
      </w:r>
      <w:proofErr w:type="gramStart"/>
      <w:r>
        <w:rPr>
          <w:sz w:val="24"/>
          <w:szCs w:val="24"/>
        </w:rPr>
        <w:t>was AMCOW’s country members</w:t>
      </w:r>
      <w:proofErr w:type="gramEnd"/>
      <w:r>
        <w:rPr>
          <w:sz w:val="24"/>
          <w:szCs w:val="24"/>
        </w:rPr>
        <w:t xml:space="preserve"> asking how South Africa achieved a reduction in defecation from 13% to 2%. </w:t>
      </w:r>
    </w:p>
    <w:p w:rsidR="00C63267" w:rsidRDefault="00C63267" w:rsidP="00942C79">
      <w:pPr>
        <w:pStyle w:val="Heading1"/>
        <w:rPr>
          <w:b/>
          <w:sz w:val="36"/>
          <w:szCs w:val="36"/>
        </w:rPr>
      </w:pPr>
    </w:p>
    <w:p w:rsidR="00C63267" w:rsidRDefault="00C63267" w:rsidP="00942C79">
      <w:pPr>
        <w:pStyle w:val="Heading1"/>
        <w:rPr>
          <w:b/>
          <w:sz w:val="36"/>
          <w:szCs w:val="36"/>
        </w:rPr>
      </w:pPr>
    </w:p>
    <w:p w:rsidR="00EF7EBA" w:rsidRPr="00593DAE" w:rsidRDefault="00942C79" w:rsidP="00942C79">
      <w:pPr>
        <w:pStyle w:val="Heading1"/>
        <w:rPr>
          <w:sz w:val="36"/>
          <w:szCs w:val="36"/>
        </w:rPr>
      </w:pPr>
      <w:r w:rsidRPr="00593DAE">
        <w:rPr>
          <w:b/>
          <w:sz w:val="36"/>
          <w:szCs w:val="36"/>
        </w:rPr>
        <w:t>TARGET 6.1:</w:t>
      </w:r>
      <w:r w:rsidRPr="00593DAE">
        <w:rPr>
          <w:sz w:val="36"/>
          <w:szCs w:val="36"/>
        </w:rPr>
        <w:t xml:space="preserve"> By 2030, achieve universal and equitable access to safe and affordable drinking water for all</w:t>
      </w:r>
    </w:p>
    <w:p w:rsidR="00C63267" w:rsidRPr="00593DAE" w:rsidRDefault="00C63267" w:rsidP="00C63267">
      <w:pPr>
        <w:rPr>
          <w:sz w:val="36"/>
          <w:szCs w:val="36"/>
        </w:rPr>
      </w:pPr>
    </w:p>
    <w:p w:rsidR="00942C79" w:rsidRPr="00593DAE" w:rsidRDefault="00942C79" w:rsidP="00942C79">
      <w:pPr>
        <w:pStyle w:val="Heading2"/>
        <w:rPr>
          <w:sz w:val="32"/>
          <w:szCs w:val="32"/>
        </w:rPr>
      </w:pPr>
      <w:r w:rsidRPr="00593DAE">
        <w:rPr>
          <w:sz w:val="32"/>
          <w:szCs w:val="32"/>
        </w:rPr>
        <w:t>INDICATOR 6.1.1: Percentage of population using safely managed drinking water services</w:t>
      </w:r>
    </w:p>
    <w:p w:rsidR="00800094" w:rsidRPr="00800094" w:rsidRDefault="00800094" w:rsidP="00800094"/>
    <w:tbl>
      <w:tblPr>
        <w:tblW w:w="950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tblPr>
      <w:tblGrid>
        <w:gridCol w:w="4716"/>
        <w:gridCol w:w="4755"/>
        <w:gridCol w:w="33"/>
      </w:tblGrid>
      <w:tr w:rsidR="00942C79" w:rsidRPr="00942C79" w:rsidTr="009D5D72">
        <w:trPr>
          <w:gridAfter w:val="1"/>
          <w:wAfter w:w="33" w:type="dxa"/>
          <w:trHeight w:val="378"/>
        </w:trPr>
        <w:tc>
          <w:tcPr>
            <w:tcW w:w="9471" w:type="dxa"/>
            <w:gridSpan w:val="2"/>
            <w:shd w:val="clear" w:color="auto" w:fill="00B0F0"/>
          </w:tcPr>
          <w:p w:rsidR="00942C79" w:rsidRPr="00942C79" w:rsidRDefault="00942C79" w:rsidP="00C119F7">
            <w:pPr>
              <w:ind w:left="48"/>
              <w:jc w:val="center"/>
              <w:rPr>
                <w:b/>
                <w:color w:val="FFFFFF" w:themeColor="background1"/>
                <w:sz w:val="32"/>
                <w:szCs w:val="32"/>
              </w:rPr>
            </w:pPr>
            <w:r w:rsidRPr="00942C79">
              <w:rPr>
                <w:b/>
                <w:color w:val="FFFFFF" w:themeColor="background1"/>
                <w:sz w:val="32"/>
                <w:szCs w:val="32"/>
              </w:rPr>
              <w:t>Indicator definition and method of computation (</w:t>
            </w:r>
            <w:proofErr w:type="spellStart"/>
            <w:r w:rsidRPr="00942C79">
              <w:rPr>
                <w:b/>
                <w:color w:val="FFFFFF" w:themeColor="background1"/>
                <w:sz w:val="32"/>
                <w:szCs w:val="32"/>
              </w:rPr>
              <w:t>MoC</w:t>
            </w:r>
            <w:proofErr w:type="spellEnd"/>
            <w:r w:rsidRPr="00942C79">
              <w:rPr>
                <w:b/>
                <w:color w:val="FFFFFF" w:themeColor="background1"/>
                <w:sz w:val="32"/>
                <w:szCs w:val="32"/>
              </w:rPr>
              <w:t>)</w:t>
            </w:r>
          </w:p>
        </w:tc>
      </w:tr>
      <w:tr w:rsidR="00942C79" w:rsidTr="009D5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652"/>
        </w:trPr>
        <w:tc>
          <w:tcPr>
            <w:tcW w:w="4716" w:type="dxa"/>
          </w:tcPr>
          <w:p w:rsidR="002C6BAE" w:rsidRPr="00B934DE" w:rsidRDefault="0009038C" w:rsidP="00593DAE">
            <w:pPr>
              <w:pStyle w:val="Default"/>
              <w:spacing w:line="360" w:lineRule="auto"/>
              <w:jc w:val="both"/>
              <w:rPr>
                <w:rFonts w:asciiTheme="minorHAnsi" w:hAnsiTheme="minorHAnsi" w:cstheme="minorHAnsi"/>
              </w:rPr>
            </w:pPr>
            <w:r w:rsidRPr="00B934DE">
              <w:rPr>
                <w:rFonts w:asciiTheme="minorHAnsi" w:hAnsiTheme="minorHAnsi" w:cstheme="minorHAnsi"/>
              </w:rPr>
              <w:t xml:space="preserve">DEFINITION: Population </w:t>
            </w:r>
            <w:r w:rsidR="002C6BAE" w:rsidRPr="00B934DE">
              <w:rPr>
                <w:rFonts w:asciiTheme="minorHAnsi" w:hAnsiTheme="minorHAnsi" w:cstheme="minorHAnsi"/>
              </w:rPr>
              <w:t xml:space="preserve">using an improved drinking water source (piped water into </w:t>
            </w:r>
            <w:r w:rsidR="00D27BA3" w:rsidRPr="00B934DE">
              <w:rPr>
                <w:rFonts w:asciiTheme="minorHAnsi" w:hAnsiTheme="minorHAnsi" w:cstheme="minorHAnsi"/>
              </w:rPr>
              <w:t xml:space="preserve">dwellings, yards or plots; public taps or standpipes; boreholes or </w:t>
            </w:r>
            <w:proofErr w:type="spellStart"/>
            <w:r w:rsidR="00D27BA3" w:rsidRPr="00B934DE">
              <w:rPr>
                <w:rFonts w:asciiTheme="minorHAnsi" w:hAnsiTheme="minorHAnsi" w:cstheme="minorHAnsi"/>
              </w:rPr>
              <w:t>tubewells</w:t>
            </w:r>
            <w:proofErr w:type="spellEnd"/>
            <w:r w:rsidR="00C411A4" w:rsidRPr="00B934DE">
              <w:rPr>
                <w:rFonts w:asciiTheme="minorHAnsi" w:hAnsiTheme="minorHAnsi" w:cstheme="minorHAnsi"/>
              </w:rPr>
              <w:t>; protected dug wells; or protected springs and rainwater) that is located on premises and available when needed and which is free from faecal and priority chemical contamination.</w:t>
            </w:r>
          </w:p>
        </w:tc>
        <w:tc>
          <w:tcPr>
            <w:tcW w:w="4788" w:type="dxa"/>
            <w:gridSpan w:val="2"/>
          </w:tcPr>
          <w:p w:rsidR="00357A07" w:rsidRPr="00B934DE" w:rsidRDefault="00942C79" w:rsidP="00593DAE">
            <w:pPr>
              <w:pStyle w:val="Default"/>
              <w:spacing w:line="360" w:lineRule="auto"/>
              <w:jc w:val="both"/>
              <w:rPr>
                <w:rFonts w:asciiTheme="minorHAnsi" w:hAnsiTheme="minorHAnsi" w:cstheme="minorHAnsi"/>
              </w:rPr>
            </w:pPr>
            <w:proofErr w:type="spellStart"/>
            <w:r w:rsidRPr="00B934DE">
              <w:rPr>
                <w:rFonts w:asciiTheme="minorHAnsi" w:hAnsiTheme="minorHAnsi" w:cstheme="minorHAnsi"/>
                <w:b/>
                <w:bCs/>
              </w:rPr>
              <w:t>MoC</w:t>
            </w:r>
            <w:proofErr w:type="spellEnd"/>
            <w:r w:rsidRPr="00B934DE">
              <w:rPr>
                <w:rFonts w:asciiTheme="minorHAnsi" w:hAnsiTheme="minorHAnsi" w:cstheme="minorHAnsi"/>
                <w:b/>
                <w:bCs/>
              </w:rPr>
              <w:t xml:space="preserve">: </w:t>
            </w:r>
            <w:r w:rsidRPr="00B934DE">
              <w:rPr>
                <w:rFonts w:asciiTheme="minorHAnsi" w:hAnsiTheme="minorHAnsi" w:cstheme="minorHAnsi"/>
              </w:rPr>
              <w:t xml:space="preserve">Percentage of population using an improved basic drinking water source </w:t>
            </w:r>
            <w:r w:rsidR="008E23B4" w:rsidRPr="00B934DE">
              <w:rPr>
                <w:rFonts w:asciiTheme="minorHAnsi" w:hAnsiTheme="minorHAnsi" w:cstheme="minorHAnsi"/>
              </w:rPr>
              <w:t>(</w:t>
            </w:r>
            <w:r w:rsidR="001C1B8B" w:rsidRPr="00B934DE">
              <w:rPr>
                <w:rFonts w:asciiTheme="minorHAnsi" w:hAnsiTheme="minorHAnsi" w:cstheme="minorHAnsi"/>
              </w:rPr>
              <w:t>piped water into dwellings, yard or plot</w:t>
            </w:r>
            <w:r w:rsidR="006429E2" w:rsidRPr="00B934DE">
              <w:rPr>
                <w:rFonts w:asciiTheme="minorHAnsi" w:hAnsiTheme="minorHAnsi" w:cstheme="minorHAnsi"/>
              </w:rPr>
              <w:t>, public taps or standpipes,</w:t>
            </w:r>
            <w:r w:rsidR="00800094">
              <w:rPr>
                <w:rFonts w:asciiTheme="minorHAnsi" w:hAnsiTheme="minorHAnsi" w:cstheme="minorHAnsi"/>
              </w:rPr>
              <w:t xml:space="preserve"> </w:t>
            </w:r>
            <w:r w:rsidR="005725A1" w:rsidRPr="00B934DE">
              <w:rPr>
                <w:rFonts w:asciiTheme="minorHAnsi" w:hAnsiTheme="minorHAnsi" w:cstheme="minorHAnsi"/>
              </w:rPr>
              <w:t>boreholes</w:t>
            </w:r>
            <w:r w:rsidR="003E6C07" w:rsidRPr="00B934DE">
              <w:rPr>
                <w:rFonts w:asciiTheme="minorHAnsi" w:hAnsiTheme="minorHAnsi" w:cstheme="minorHAnsi"/>
              </w:rPr>
              <w:t xml:space="preserve"> or </w:t>
            </w:r>
            <w:proofErr w:type="spellStart"/>
            <w:r w:rsidR="003E6C07" w:rsidRPr="00B934DE">
              <w:rPr>
                <w:rFonts w:asciiTheme="minorHAnsi" w:hAnsiTheme="minorHAnsi" w:cstheme="minorHAnsi"/>
              </w:rPr>
              <w:t>tubewells</w:t>
            </w:r>
            <w:proofErr w:type="spellEnd"/>
            <w:r w:rsidR="009A575C" w:rsidRPr="00B934DE">
              <w:rPr>
                <w:rFonts w:asciiTheme="minorHAnsi" w:hAnsiTheme="minorHAnsi" w:cstheme="minorHAnsi"/>
              </w:rPr>
              <w:t>,</w:t>
            </w:r>
            <w:r w:rsidR="003E6C07" w:rsidRPr="00B934DE">
              <w:rPr>
                <w:rFonts w:asciiTheme="minorHAnsi" w:hAnsiTheme="minorHAnsi" w:cstheme="minorHAnsi"/>
              </w:rPr>
              <w:t xml:space="preserve"> protected dug wells</w:t>
            </w:r>
            <w:r w:rsidR="005725A1" w:rsidRPr="00B934DE">
              <w:rPr>
                <w:rFonts w:asciiTheme="minorHAnsi" w:hAnsiTheme="minorHAnsi" w:cstheme="minorHAnsi"/>
              </w:rPr>
              <w:t>, protected springs and rainwater)</w:t>
            </w:r>
            <w:r w:rsidR="009A575C" w:rsidRPr="00B934DE">
              <w:rPr>
                <w:rFonts w:asciiTheme="minorHAnsi" w:hAnsiTheme="minorHAnsi" w:cstheme="minorHAnsi"/>
              </w:rPr>
              <w:t xml:space="preserve"> divided by the total population multiplied by 100</w:t>
            </w:r>
            <w:r w:rsidR="00E5762A" w:rsidRPr="00B934DE">
              <w:rPr>
                <w:rFonts w:asciiTheme="minorHAnsi" w:hAnsiTheme="minorHAnsi" w:cstheme="minorHAnsi"/>
              </w:rPr>
              <w:t>.</w:t>
            </w:r>
          </w:p>
        </w:tc>
      </w:tr>
    </w:tbl>
    <w:p w:rsidR="00C119F7" w:rsidRDefault="009D5D72" w:rsidP="009D5D72">
      <w:pPr>
        <w:rPr>
          <w:b/>
          <w:color w:val="FFFFFF" w:themeColor="background1"/>
          <w:sz w:val="32"/>
          <w:szCs w:val="32"/>
        </w:rPr>
      </w:pPr>
      <w:r>
        <w:rPr>
          <w:noProof/>
          <w:lang w:val="en-GB" w:eastAsia="en-GB"/>
        </w:rPr>
        <w:drawing>
          <wp:anchor distT="0" distB="0" distL="114300" distR="114300" simplePos="0" relativeHeight="251658240" behindDoc="1" locked="0" layoutInCell="1" allowOverlap="1">
            <wp:simplePos x="0" y="0"/>
            <wp:positionH relativeFrom="column">
              <wp:posOffset>-49234</wp:posOffset>
            </wp:positionH>
            <wp:positionV relativeFrom="paragraph">
              <wp:posOffset>188542</wp:posOffset>
            </wp:positionV>
            <wp:extent cx="5311806" cy="229868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11806" cy="2298683"/>
                    </a:xfrm>
                    <a:prstGeom prst="rect">
                      <a:avLst/>
                    </a:prstGeom>
                  </pic:spPr>
                </pic:pic>
              </a:graphicData>
            </a:graphic>
          </wp:anchor>
        </w:drawing>
      </w:r>
    </w:p>
    <w:p w:rsidR="003B2AC3" w:rsidRPr="0065155E" w:rsidRDefault="00C119F7" w:rsidP="0065155E">
      <w:r>
        <w:br w:type="page"/>
      </w:r>
    </w:p>
    <w:tbl>
      <w:tblPr>
        <w:tblW w:w="912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tblPr>
      <w:tblGrid>
        <w:gridCol w:w="9126"/>
      </w:tblGrid>
      <w:tr w:rsidR="003B2AC3" w:rsidRPr="00942C79" w:rsidTr="003B2AC3">
        <w:trPr>
          <w:trHeight w:val="584"/>
        </w:trPr>
        <w:tc>
          <w:tcPr>
            <w:tcW w:w="9126" w:type="dxa"/>
            <w:shd w:val="clear" w:color="auto" w:fill="00B0F0"/>
          </w:tcPr>
          <w:p w:rsidR="0064197B" w:rsidRDefault="00922859" w:rsidP="003B2AC3">
            <w:pPr>
              <w:ind w:left="48"/>
              <w:jc w:val="center"/>
              <w:rPr>
                <w:b/>
                <w:color w:val="FFFFFF" w:themeColor="background1"/>
                <w:sz w:val="32"/>
                <w:szCs w:val="32"/>
              </w:rPr>
            </w:pPr>
            <w:r>
              <w:rPr>
                <w:b/>
                <w:color w:val="FFFFFF" w:themeColor="background1"/>
                <w:sz w:val="32"/>
                <w:szCs w:val="32"/>
              </w:rPr>
              <w:lastRenderedPageBreak/>
              <w:t>JMP WATER LADDER - SDG ACCESS TO BASIC SERVICE</w:t>
            </w:r>
            <w:r w:rsidR="00800094">
              <w:rPr>
                <w:b/>
                <w:color w:val="FFFFFF" w:themeColor="background1"/>
                <w:sz w:val="32"/>
                <w:szCs w:val="32"/>
              </w:rPr>
              <w:t xml:space="preserve"> </w:t>
            </w:r>
            <w:r>
              <w:rPr>
                <w:b/>
                <w:color w:val="FFFFFF" w:themeColor="background1"/>
                <w:sz w:val="32"/>
                <w:szCs w:val="32"/>
              </w:rPr>
              <w:t>84</w:t>
            </w:r>
            <w:r w:rsidRPr="003B2AC3">
              <w:rPr>
                <w:b/>
                <w:color w:val="FFFFFF" w:themeColor="background1"/>
                <w:sz w:val="32"/>
                <w:szCs w:val="32"/>
              </w:rPr>
              <w:t>%</w:t>
            </w:r>
          </w:p>
          <w:p w:rsidR="003B2AC3" w:rsidRPr="00942C79" w:rsidRDefault="00922859" w:rsidP="003B2AC3">
            <w:pPr>
              <w:ind w:left="48"/>
              <w:jc w:val="center"/>
              <w:rPr>
                <w:b/>
                <w:color w:val="FFFFFF" w:themeColor="background1"/>
                <w:sz w:val="32"/>
                <w:szCs w:val="32"/>
              </w:rPr>
            </w:pPr>
            <w:r>
              <w:rPr>
                <w:b/>
                <w:color w:val="FFFFFF" w:themeColor="background1"/>
                <w:sz w:val="32"/>
                <w:szCs w:val="32"/>
              </w:rPr>
              <w:t>BASE YEAR = 2015</w:t>
            </w:r>
            <w:r w:rsidR="00722491">
              <w:rPr>
                <w:b/>
                <w:color w:val="FFFFFF" w:themeColor="background1"/>
                <w:sz w:val="32"/>
                <w:szCs w:val="32"/>
              </w:rPr>
              <w:t>: Source Data Stats SA GHS</w:t>
            </w:r>
          </w:p>
        </w:tc>
      </w:tr>
    </w:tbl>
    <w:p w:rsidR="00942C79" w:rsidRDefault="00544F32" w:rsidP="003B2AC3">
      <w:pPr>
        <w:rPr>
          <w:sz w:val="32"/>
          <w:szCs w:val="32"/>
        </w:rPr>
      </w:pPr>
      <w:r>
        <w:rPr>
          <w:noProof/>
          <w:lang w:val="en-GB" w:eastAsia="en-GB"/>
        </w:rPr>
        <w:drawing>
          <wp:inline distT="0" distB="0" distL="0" distR="0">
            <wp:extent cx="5697220" cy="39687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7220" cy="3968750"/>
                    </a:xfrm>
                    <a:prstGeom prst="rect">
                      <a:avLst/>
                    </a:prstGeom>
                  </pic:spPr>
                </pic:pic>
              </a:graphicData>
            </a:graphic>
          </wp:inline>
        </w:drawing>
      </w:r>
    </w:p>
    <w:tbl>
      <w:tblPr>
        <w:tblW w:w="8591" w:type="dxa"/>
        <w:tblInd w:w="-5" w:type="dxa"/>
        <w:tblLook w:val="0000"/>
      </w:tblPr>
      <w:tblGrid>
        <w:gridCol w:w="4776"/>
        <w:gridCol w:w="4116"/>
      </w:tblGrid>
      <w:tr w:rsidR="002E09A3" w:rsidTr="00596120">
        <w:trPr>
          <w:trHeight w:val="6468"/>
        </w:trPr>
        <w:tc>
          <w:tcPr>
            <w:tcW w:w="4383" w:type="dxa"/>
          </w:tcPr>
          <w:p w:rsidR="00596120" w:rsidRDefault="00596120" w:rsidP="00596120">
            <w:pPr>
              <w:rPr>
                <w:sz w:val="32"/>
                <w:szCs w:val="32"/>
              </w:rPr>
            </w:pPr>
            <w:r>
              <w:rPr>
                <w:noProof/>
                <w:lang w:val="en-GB" w:eastAsia="en-GB"/>
              </w:rPr>
              <w:drawing>
                <wp:inline distT="0" distB="0" distL="0" distR="0">
                  <wp:extent cx="2887980" cy="42735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7037" cy="4316548"/>
                          </a:xfrm>
                          <a:prstGeom prst="rect">
                            <a:avLst/>
                          </a:prstGeom>
                        </pic:spPr>
                      </pic:pic>
                    </a:graphicData>
                  </a:graphic>
                </wp:inline>
              </w:drawing>
            </w:r>
          </w:p>
        </w:tc>
        <w:tc>
          <w:tcPr>
            <w:tcW w:w="4208" w:type="dxa"/>
          </w:tcPr>
          <w:p w:rsidR="00596120" w:rsidRDefault="001607CB" w:rsidP="003B2AC3">
            <w:pPr>
              <w:rPr>
                <w:sz w:val="32"/>
                <w:szCs w:val="32"/>
              </w:rPr>
            </w:pPr>
            <w:r>
              <w:rPr>
                <w:noProof/>
                <w:sz w:val="32"/>
                <w:szCs w:val="32"/>
                <w:lang w:val="en-GB" w:eastAsia="en-GB"/>
              </w:rPr>
              <w:drawing>
                <wp:anchor distT="0" distB="0" distL="114300" distR="114300" simplePos="0" relativeHeight="251659264" behindDoc="1" locked="0" layoutInCell="1" allowOverlap="1">
                  <wp:simplePos x="0" y="0"/>
                  <wp:positionH relativeFrom="column">
                    <wp:posOffset>24765</wp:posOffset>
                  </wp:positionH>
                  <wp:positionV relativeFrom="paragraph">
                    <wp:posOffset>-4445</wp:posOffset>
                  </wp:positionV>
                  <wp:extent cx="2451100" cy="4000500"/>
                  <wp:effectExtent l="19050" t="0" r="6350" b="0"/>
                  <wp:wrapTight wrapText="bothSides">
                    <wp:wrapPolygon edited="0">
                      <wp:start x="-168" y="0"/>
                      <wp:lineTo x="-168" y="21497"/>
                      <wp:lineTo x="21656" y="21497"/>
                      <wp:lineTo x="21656" y="0"/>
                      <wp:lineTo x="-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0-13 at 10.53.56.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51100" cy="4000500"/>
                          </a:xfrm>
                          <a:prstGeom prst="rect">
                            <a:avLst/>
                          </a:prstGeom>
                        </pic:spPr>
                      </pic:pic>
                    </a:graphicData>
                  </a:graphic>
                </wp:anchor>
              </w:drawing>
            </w:r>
          </w:p>
        </w:tc>
      </w:tr>
    </w:tbl>
    <w:p w:rsidR="00632833" w:rsidRDefault="00007978" w:rsidP="00593DAE">
      <w:pPr>
        <w:spacing w:after="0" w:line="360" w:lineRule="auto"/>
        <w:jc w:val="both"/>
        <w:rPr>
          <w:sz w:val="24"/>
          <w:szCs w:val="24"/>
        </w:rPr>
      </w:pPr>
      <w:r>
        <w:rPr>
          <w:sz w:val="24"/>
          <w:szCs w:val="24"/>
        </w:rPr>
        <w:lastRenderedPageBreak/>
        <w:t xml:space="preserve">From the graphical </w:t>
      </w:r>
      <w:r w:rsidR="00F32AF9">
        <w:rPr>
          <w:sz w:val="24"/>
          <w:szCs w:val="24"/>
        </w:rPr>
        <w:t>view above the access to basic water supply (i.e.</w:t>
      </w:r>
      <w:r w:rsidR="006C7703">
        <w:rPr>
          <w:sz w:val="24"/>
          <w:szCs w:val="24"/>
        </w:rPr>
        <w:t xml:space="preserve">access to </w:t>
      </w:r>
      <w:r w:rsidR="00083939">
        <w:rPr>
          <w:sz w:val="24"/>
          <w:szCs w:val="24"/>
        </w:rPr>
        <w:t>an improved water source</w:t>
      </w:r>
      <w:r w:rsidR="006C7703">
        <w:rPr>
          <w:sz w:val="24"/>
          <w:szCs w:val="24"/>
        </w:rPr>
        <w:t xml:space="preserve"> within 200 meters of the household</w:t>
      </w:r>
      <w:r w:rsidR="003068FA">
        <w:rPr>
          <w:sz w:val="24"/>
          <w:szCs w:val="24"/>
        </w:rPr>
        <w:t xml:space="preserve">) is determined by adding safely managed </w:t>
      </w:r>
      <w:r w:rsidR="00D72136">
        <w:rPr>
          <w:sz w:val="24"/>
          <w:szCs w:val="24"/>
        </w:rPr>
        <w:t xml:space="preserve">(in 2015 = 77%) </w:t>
      </w:r>
      <w:r w:rsidR="003068FA">
        <w:rPr>
          <w:sz w:val="24"/>
          <w:szCs w:val="24"/>
        </w:rPr>
        <w:t xml:space="preserve">to the portion </w:t>
      </w:r>
      <w:r w:rsidR="00BC405E">
        <w:rPr>
          <w:sz w:val="24"/>
          <w:szCs w:val="24"/>
        </w:rPr>
        <w:t>showing</w:t>
      </w:r>
      <w:r w:rsidR="006505EF">
        <w:rPr>
          <w:sz w:val="24"/>
          <w:szCs w:val="24"/>
        </w:rPr>
        <w:t>/remaining</w:t>
      </w:r>
      <w:r w:rsidR="00BC405E">
        <w:rPr>
          <w:sz w:val="24"/>
          <w:szCs w:val="24"/>
        </w:rPr>
        <w:t xml:space="preserve"> of basic supply (in 2015 = 7%)</w:t>
      </w:r>
      <w:r w:rsidR="006505EF">
        <w:rPr>
          <w:sz w:val="24"/>
          <w:szCs w:val="24"/>
        </w:rPr>
        <w:t xml:space="preserve"> to </w:t>
      </w:r>
      <w:r w:rsidR="00B05189">
        <w:rPr>
          <w:sz w:val="24"/>
          <w:szCs w:val="24"/>
        </w:rPr>
        <w:t xml:space="preserve">give you a value of </w:t>
      </w:r>
      <w:r w:rsidR="006E233E">
        <w:rPr>
          <w:sz w:val="24"/>
          <w:szCs w:val="24"/>
        </w:rPr>
        <w:t xml:space="preserve">basic water supply </w:t>
      </w:r>
      <w:r w:rsidR="00373288">
        <w:rPr>
          <w:sz w:val="24"/>
          <w:szCs w:val="24"/>
        </w:rPr>
        <w:t xml:space="preserve">which equates </w:t>
      </w:r>
      <w:r w:rsidR="006E233E">
        <w:rPr>
          <w:sz w:val="24"/>
          <w:szCs w:val="24"/>
        </w:rPr>
        <w:t xml:space="preserve">to </w:t>
      </w:r>
      <w:r w:rsidR="00B05189">
        <w:rPr>
          <w:sz w:val="24"/>
          <w:szCs w:val="24"/>
        </w:rPr>
        <w:t xml:space="preserve">84% in 2015. </w:t>
      </w:r>
      <w:r w:rsidR="00145E06">
        <w:rPr>
          <w:sz w:val="24"/>
          <w:szCs w:val="24"/>
        </w:rPr>
        <w:t xml:space="preserve">The definition for the Millennium Development Goals (MDG) </w:t>
      </w:r>
      <w:r w:rsidR="006E3624">
        <w:rPr>
          <w:sz w:val="24"/>
          <w:szCs w:val="24"/>
        </w:rPr>
        <w:t xml:space="preserve">for access to improved water source aligns with the SDG </w:t>
      </w:r>
      <w:r w:rsidR="00CA383A">
        <w:rPr>
          <w:sz w:val="24"/>
          <w:szCs w:val="24"/>
        </w:rPr>
        <w:t xml:space="preserve">definition </w:t>
      </w:r>
      <w:r w:rsidR="00F44102">
        <w:rPr>
          <w:sz w:val="24"/>
          <w:szCs w:val="24"/>
        </w:rPr>
        <w:t xml:space="preserve">when </w:t>
      </w:r>
      <w:r w:rsidR="00CF17FA">
        <w:rPr>
          <w:sz w:val="24"/>
          <w:szCs w:val="24"/>
        </w:rPr>
        <w:t>its</w:t>
      </w:r>
      <w:r w:rsidR="00F44102">
        <w:rPr>
          <w:sz w:val="24"/>
          <w:szCs w:val="24"/>
        </w:rPr>
        <w:t xml:space="preserve"> components of </w:t>
      </w:r>
      <w:r w:rsidR="00EE7411">
        <w:rPr>
          <w:sz w:val="24"/>
          <w:szCs w:val="24"/>
        </w:rPr>
        <w:t>“</w:t>
      </w:r>
      <w:r w:rsidR="00F44102">
        <w:rPr>
          <w:sz w:val="24"/>
          <w:szCs w:val="24"/>
        </w:rPr>
        <w:t>basic supply</w:t>
      </w:r>
      <w:r w:rsidR="00EE7411">
        <w:rPr>
          <w:sz w:val="24"/>
          <w:szCs w:val="24"/>
        </w:rPr>
        <w:t>”</w:t>
      </w:r>
      <w:r w:rsidR="00800094">
        <w:rPr>
          <w:sz w:val="24"/>
          <w:szCs w:val="24"/>
        </w:rPr>
        <w:t xml:space="preserve"> </w:t>
      </w:r>
      <w:r w:rsidR="00B04F4B">
        <w:rPr>
          <w:sz w:val="24"/>
          <w:szCs w:val="24"/>
        </w:rPr>
        <w:t xml:space="preserve">(access to </w:t>
      </w:r>
      <w:r w:rsidR="00EE7411">
        <w:rPr>
          <w:sz w:val="24"/>
          <w:szCs w:val="24"/>
        </w:rPr>
        <w:t>an improved water source</w:t>
      </w:r>
      <w:r w:rsidR="00800094">
        <w:rPr>
          <w:sz w:val="24"/>
          <w:szCs w:val="24"/>
        </w:rPr>
        <w:t xml:space="preserve"> </w:t>
      </w:r>
      <w:r w:rsidR="00EE7411">
        <w:rPr>
          <w:sz w:val="24"/>
          <w:szCs w:val="24"/>
        </w:rPr>
        <w:t>is less than</w:t>
      </w:r>
      <w:r w:rsidR="00B04F4B">
        <w:rPr>
          <w:sz w:val="24"/>
          <w:szCs w:val="24"/>
        </w:rPr>
        <w:t xml:space="preserve"> 200m) is added to </w:t>
      </w:r>
      <w:r w:rsidR="00EE7411">
        <w:rPr>
          <w:sz w:val="24"/>
          <w:szCs w:val="24"/>
        </w:rPr>
        <w:t>“</w:t>
      </w:r>
      <w:r w:rsidR="00613CD4">
        <w:rPr>
          <w:sz w:val="24"/>
          <w:szCs w:val="24"/>
        </w:rPr>
        <w:t>limited supply</w:t>
      </w:r>
      <w:r w:rsidR="00EE7411">
        <w:rPr>
          <w:sz w:val="24"/>
          <w:szCs w:val="24"/>
        </w:rPr>
        <w:t>”</w:t>
      </w:r>
      <w:r w:rsidR="00613CD4">
        <w:rPr>
          <w:sz w:val="24"/>
          <w:szCs w:val="24"/>
        </w:rPr>
        <w:t xml:space="preserve"> (</w:t>
      </w:r>
      <w:r w:rsidR="00EE7411">
        <w:rPr>
          <w:sz w:val="24"/>
          <w:szCs w:val="24"/>
        </w:rPr>
        <w:t>access to an improved water source greater than</w:t>
      </w:r>
      <w:r w:rsidR="00613CD4">
        <w:rPr>
          <w:sz w:val="24"/>
          <w:szCs w:val="24"/>
        </w:rPr>
        <w:t xml:space="preserve"> 200m)</w:t>
      </w:r>
      <w:r w:rsidR="00C63267">
        <w:rPr>
          <w:sz w:val="24"/>
          <w:szCs w:val="24"/>
        </w:rPr>
        <w:t>,</w:t>
      </w:r>
      <w:r w:rsidR="00613CD4">
        <w:rPr>
          <w:sz w:val="24"/>
          <w:szCs w:val="24"/>
        </w:rPr>
        <w:t xml:space="preserve"> which in 2015 </w:t>
      </w:r>
      <w:r w:rsidR="00313503">
        <w:rPr>
          <w:sz w:val="24"/>
          <w:szCs w:val="24"/>
        </w:rPr>
        <w:t xml:space="preserve">equates to </w:t>
      </w:r>
      <w:r w:rsidR="0066403F">
        <w:rPr>
          <w:sz w:val="24"/>
          <w:szCs w:val="24"/>
        </w:rPr>
        <w:t xml:space="preserve">93% (i.e. </w:t>
      </w:r>
      <w:proofErr w:type="gramStart"/>
      <w:r w:rsidR="008A1396">
        <w:rPr>
          <w:sz w:val="24"/>
          <w:szCs w:val="24"/>
        </w:rPr>
        <w:t>=(</w:t>
      </w:r>
      <w:proofErr w:type="gramEnd"/>
      <w:r w:rsidR="0066403F">
        <w:rPr>
          <w:sz w:val="24"/>
          <w:szCs w:val="24"/>
        </w:rPr>
        <w:t>77+</w:t>
      </w:r>
      <w:r w:rsidR="008A1396">
        <w:rPr>
          <w:sz w:val="24"/>
          <w:szCs w:val="24"/>
        </w:rPr>
        <w:t>7)+9).</w:t>
      </w:r>
    </w:p>
    <w:p w:rsidR="003B2AC3" w:rsidRDefault="00544F32" w:rsidP="00593DAE">
      <w:pPr>
        <w:spacing w:after="0" w:line="360" w:lineRule="auto"/>
        <w:jc w:val="both"/>
        <w:rPr>
          <w:sz w:val="24"/>
          <w:szCs w:val="24"/>
        </w:rPr>
      </w:pPr>
      <w:r>
        <w:rPr>
          <w:sz w:val="24"/>
          <w:szCs w:val="24"/>
        </w:rPr>
        <w:t>B</w:t>
      </w:r>
      <w:r w:rsidR="00596120">
        <w:rPr>
          <w:sz w:val="24"/>
          <w:szCs w:val="24"/>
        </w:rPr>
        <w:t xml:space="preserve">asic water supply improved from 84% in 2015 to </w:t>
      </w:r>
      <w:r>
        <w:rPr>
          <w:sz w:val="24"/>
          <w:szCs w:val="24"/>
        </w:rPr>
        <w:t xml:space="preserve">86% in 2017 according to the General Household Survey of Stats SA. From the graphs </w:t>
      </w:r>
      <w:r w:rsidR="00ED6AD4">
        <w:rPr>
          <w:sz w:val="24"/>
          <w:szCs w:val="24"/>
        </w:rPr>
        <w:t>it can be seen that</w:t>
      </w:r>
      <w:r>
        <w:rPr>
          <w:sz w:val="24"/>
          <w:szCs w:val="24"/>
        </w:rPr>
        <w:t xml:space="preserve"> the limited service which are taps</w:t>
      </w:r>
      <w:r w:rsidR="00ED6AD4">
        <w:rPr>
          <w:sz w:val="24"/>
          <w:szCs w:val="24"/>
        </w:rPr>
        <w:t xml:space="preserve"> located at a distance </w:t>
      </w:r>
      <w:r>
        <w:rPr>
          <w:sz w:val="24"/>
          <w:szCs w:val="24"/>
        </w:rPr>
        <w:t>greater than 200 meters from the house have been upgraded to basic service while the unimproved and no service</w:t>
      </w:r>
      <w:r w:rsidR="00ED6AD4">
        <w:rPr>
          <w:sz w:val="24"/>
          <w:szCs w:val="24"/>
        </w:rPr>
        <w:t xml:space="preserve"> categories</w:t>
      </w:r>
      <w:r>
        <w:rPr>
          <w:sz w:val="24"/>
          <w:szCs w:val="24"/>
        </w:rPr>
        <w:t xml:space="preserve"> have seen no improvement in services.</w:t>
      </w:r>
    </w:p>
    <w:p w:rsidR="00220F83" w:rsidRDefault="00220F83" w:rsidP="00593DAE">
      <w:pPr>
        <w:spacing w:after="0"/>
        <w:rPr>
          <w:sz w:val="24"/>
          <w:szCs w:val="24"/>
        </w:rPr>
      </w:pPr>
      <w:r>
        <w:rPr>
          <w:sz w:val="24"/>
          <w:szCs w:val="24"/>
        </w:rPr>
        <w:br w:type="page"/>
      </w:r>
    </w:p>
    <w:p w:rsidR="00FB0CA3" w:rsidRDefault="00FB0CA3" w:rsidP="00FB0CA3">
      <w:pPr>
        <w:pStyle w:val="Heading1"/>
        <w:rPr>
          <w:sz w:val="36"/>
          <w:szCs w:val="36"/>
        </w:rPr>
      </w:pPr>
      <w:r w:rsidRPr="00942C79">
        <w:rPr>
          <w:b/>
          <w:sz w:val="36"/>
          <w:szCs w:val="36"/>
        </w:rPr>
        <w:lastRenderedPageBreak/>
        <w:t>TARGET 6.</w:t>
      </w:r>
      <w:r>
        <w:rPr>
          <w:b/>
          <w:sz w:val="36"/>
          <w:szCs w:val="36"/>
        </w:rPr>
        <w:t>2</w:t>
      </w:r>
      <w:r w:rsidRPr="00942C79">
        <w:rPr>
          <w:b/>
          <w:sz w:val="36"/>
          <w:szCs w:val="36"/>
        </w:rPr>
        <w:t>:</w:t>
      </w:r>
      <w:r w:rsidRPr="00942C79">
        <w:rPr>
          <w:sz w:val="36"/>
          <w:szCs w:val="36"/>
        </w:rPr>
        <w:t xml:space="preserve"> By 2030, achieve </w:t>
      </w:r>
      <w:r w:rsidR="001D28AC">
        <w:rPr>
          <w:sz w:val="36"/>
          <w:szCs w:val="36"/>
        </w:rPr>
        <w:t xml:space="preserve">access to adequate and equitable sanitation and hygiene for all and end </w:t>
      </w:r>
      <w:r w:rsidR="00F15523">
        <w:rPr>
          <w:sz w:val="36"/>
          <w:szCs w:val="36"/>
        </w:rPr>
        <w:t>open defecation, paying special attention to the needs of women and girl</w:t>
      </w:r>
      <w:r w:rsidR="003F47C2">
        <w:rPr>
          <w:sz w:val="36"/>
          <w:szCs w:val="36"/>
        </w:rPr>
        <w:t>s and those in vulnerable situations</w:t>
      </w:r>
    </w:p>
    <w:p w:rsidR="00593DAE" w:rsidRPr="00593DAE" w:rsidRDefault="00593DAE" w:rsidP="00593DAE"/>
    <w:p w:rsidR="0065155E" w:rsidRPr="003F47C2" w:rsidRDefault="00FB0CA3" w:rsidP="003F47C2">
      <w:pPr>
        <w:pStyle w:val="Heading2"/>
      </w:pPr>
      <w:r w:rsidRPr="00593DAE">
        <w:rPr>
          <w:sz w:val="32"/>
          <w:szCs w:val="32"/>
        </w:rPr>
        <w:t xml:space="preserve">INDICATOR 6.1.1: Percentage of population using safely managed </w:t>
      </w:r>
      <w:r w:rsidR="003F47C2" w:rsidRPr="00593DAE">
        <w:rPr>
          <w:sz w:val="32"/>
          <w:szCs w:val="32"/>
        </w:rPr>
        <w:t xml:space="preserve">sanitation services, </w:t>
      </w:r>
      <w:r w:rsidR="003F47C2">
        <w:t>including a hand-washing facility with soap and water</w:t>
      </w:r>
    </w:p>
    <w:tbl>
      <w:tblPr>
        <w:tblpPr w:leftFromText="180" w:rightFromText="180" w:vertAnchor="text" w:horzAnchor="margin" w:tblpY="382"/>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tblPr>
      <w:tblGrid>
        <w:gridCol w:w="4599"/>
        <w:gridCol w:w="4600"/>
      </w:tblGrid>
      <w:tr w:rsidR="006F47C6" w:rsidRPr="00942C79" w:rsidTr="0080055B">
        <w:trPr>
          <w:trHeight w:val="669"/>
        </w:trPr>
        <w:tc>
          <w:tcPr>
            <w:tcW w:w="9199" w:type="dxa"/>
            <w:gridSpan w:val="2"/>
            <w:tcBorders>
              <w:bottom w:val="single" w:sz="4" w:space="0" w:color="auto"/>
            </w:tcBorders>
            <w:shd w:val="clear" w:color="auto" w:fill="92D050"/>
          </w:tcPr>
          <w:p w:rsidR="006F47C6" w:rsidRPr="00942C79" w:rsidRDefault="006F47C6" w:rsidP="006F47C6">
            <w:pPr>
              <w:ind w:left="48"/>
              <w:jc w:val="center"/>
              <w:rPr>
                <w:b/>
                <w:color w:val="FFFFFF" w:themeColor="background1"/>
                <w:sz w:val="32"/>
                <w:szCs w:val="32"/>
              </w:rPr>
            </w:pPr>
            <w:r w:rsidRPr="00942C79">
              <w:rPr>
                <w:b/>
                <w:color w:val="FFFFFF" w:themeColor="background1"/>
                <w:sz w:val="32"/>
                <w:szCs w:val="32"/>
              </w:rPr>
              <w:t>Indicator definition and method of computation (</w:t>
            </w:r>
            <w:proofErr w:type="spellStart"/>
            <w:r w:rsidRPr="00942C79">
              <w:rPr>
                <w:b/>
                <w:color w:val="FFFFFF" w:themeColor="background1"/>
                <w:sz w:val="32"/>
                <w:szCs w:val="32"/>
              </w:rPr>
              <w:t>MoC</w:t>
            </w:r>
            <w:proofErr w:type="spellEnd"/>
            <w:r w:rsidRPr="00942C79">
              <w:rPr>
                <w:b/>
                <w:color w:val="FFFFFF" w:themeColor="background1"/>
                <w:sz w:val="32"/>
                <w:szCs w:val="32"/>
              </w:rPr>
              <w:t>)</w:t>
            </w:r>
          </w:p>
        </w:tc>
      </w:tr>
      <w:tr w:rsidR="00816C6A" w:rsidRPr="00942C79" w:rsidTr="0080055B">
        <w:trPr>
          <w:trHeight w:val="669"/>
        </w:trPr>
        <w:tc>
          <w:tcPr>
            <w:tcW w:w="4599" w:type="dxa"/>
            <w:tcBorders>
              <w:top w:val="single" w:sz="4" w:space="0" w:color="auto"/>
              <w:left w:val="nil"/>
              <w:bottom w:val="nil"/>
              <w:right w:val="nil"/>
            </w:tcBorders>
            <w:shd w:val="clear" w:color="auto" w:fill="auto"/>
          </w:tcPr>
          <w:p w:rsidR="00816C6A" w:rsidRPr="00800094" w:rsidRDefault="00513513" w:rsidP="00593DAE">
            <w:pPr>
              <w:spacing w:after="0" w:line="360" w:lineRule="auto"/>
              <w:ind w:left="48"/>
              <w:jc w:val="both"/>
              <w:rPr>
                <w:color w:val="FFFFFF" w:themeColor="background1"/>
                <w:sz w:val="24"/>
                <w:szCs w:val="24"/>
              </w:rPr>
            </w:pPr>
            <w:r w:rsidRPr="00800094">
              <w:rPr>
                <w:b/>
                <w:color w:val="000000" w:themeColor="text1"/>
                <w:sz w:val="24"/>
                <w:szCs w:val="24"/>
              </w:rPr>
              <w:t>D</w:t>
            </w:r>
            <w:r w:rsidR="00B934DE" w:rsidRPr="00800094">
              <w:rPr>
                <w:b/>
                <w:color w:val="000000" w:themeColor="text1"/>
                <w:sz w:val="24"/>
                <w:szCs w:val="24"/>
              </w:rPr>
              <w:t>EFINITION</w:t>
            </w:r>
            <w:r w:rsidR="00191815" w:rsidRPr="00800094">
              <w:rPr>
                <w:b/>
                <w:color w:val="000000" w:themeColor="text1"/>
                <w:sz w:val="24"/>
                <w:szCs w:val="24"/>
              </w:rPr>
              <w:t>:</w:t>
            </w:r>
            <w:r w:rsidR="00601079" w:rsidRPr="00800094">
              <w:rPr>
                <w:sz w:val="24"/>
                <w:szCs w:val="24"/>
              </w:rPr>
              <w:t xml:space="preserve"> The percentage of population using safely managed sanitation services, including a hand- washing facility with soap and water is currently being measured by the proportion of the population using an improved basic sanitation facility at the household level which is not shared with other households and where excreta is safely disposed in situ or treated off-site. ‘Improved’ source defined the same as used for MDG monitoring i.e. flush or pour flush toilets to sewer systems, septic tanks or pit latrines, ventilated improved pit latrines, pit latrines with a slab, and composting toilets.</w:t>
            </w:r>
          </w:p>
        </w:tc>
        <w:tc>
          <w:tcPr>
            <w:tcW w:w="4600" w:type="dxa"/>
            <w:tcBorders>
              <w:top w:val="single" w:sz="4" w:space="0" w:color="auto"/>
              <w:left w:val="nil"/>
              <w:bottom w:val="nil"/>
              <w:right w:val="nil"/>
            </w:tcBorders>
            <w:shd w:val="clear" w:color="auto" w:fill="auto"/>
          </w:tcPr>
          <w:p w:rsidR="00D725E9" w:rsidRPr="00800094" w:rsidRDefault="00191815" w:rsidP="00593DAE">
            <w:pPr>
              <w:spacing w:after="0" w:line="360" w:lineRule="auto"/>
              <w:jc w:val="both"/>
              <w:rPr>
                <w:sz w:val="24"/>
                <w:szCs w:val="24"/>
              </w:rPr>
            </w:pPr>
            <w:proofErr w:type="spellStart"/>
            <w:r w:rsidRPr="00800094">
              <w:rPr>
                <w:b/>
                <w:color w:val="000000" w:themeColor="text1"/>
                <w:sz w:val="24"/>
                <w:szCs w:val="24"/>
              </w:rPr>
              <w:t>MoC</w:t>
            </w:r>
            <w:proofErr w:type="spellEnd"/>
            <w:r w:rsidRPr="00800094">
              <w:rPr>
                <w:b/>
                <w:color w:val="000000" w:themeColor="text1"/>
                <w:sz w:val="24"/>
                <w:szCs w:val="24"/>
              </w:rPr>
              <w:t xml:space="preserve">: </w:t>
            </w:r>
            <w:r w:rsidR="00D725E9" w:rsidRPr="00800094">
              <w:rPr>
                <w:sz w:val="24"/>
                <w:szCs w:val="24"/>
              </w:rPr>
              <w:t xml:space="preserve"> The total number of population using improved sanitation (flush or pour flush toilets to sewer systems, septic tanks or pit latrines, ventilated improved pit latrines, pit latrines with a slab, and composting toilets) divided by the total population multiplied by 100.</w:t>
            </w:r>
          </w:p>
          <w:p w:rsidR="00816C6A" w:rsidRPr="00800094" w:rsidRDefault="00816C6A" w:rsidP="00593DAE">
            <w:pPr>
              <w:spacing w:after="0" w:line="360" w:lineRule="auto"/>
              <w:jc w:val="both"/>
              <w:rPr>
                <w:color w:val="000000" w:themeColor="text1"/>
                <w:sz w:val="24"/>
                <w:szCs w:val="24"/>
              </w:rPr>
            </w:pPr>
          </w:p>
        </w:tc>
      </w:tr>
    </w:tbl>
    <w:p w:rsidR="006F47C6" w:rsidRDefault="006F47C6" w:rsidP="00593DAE">
      <w:pPr>
        <w:spacing w:after="0"/>
        <w:rPr>
          <w:sz w:val="24"/>
          <w:szCs w:val="24"/>
        </w:rPr>
      </w:pPr>
    </w:p>
    <w:p w:rsidR="000A3941" w:rsidRDefault="009D294A" w:rsidP="003B2AC3">
      <w:pPr>
        <w:rPr>
          <w:sz w:val="24"/>
          <w:szCs w:val="24"/>
        </w:rPr>
      </w:pPr>
      <w:r>
        <w:rPr>
          <w:noProof/>
          <w:sz w:val="24"/>
          <w:szCs w:val="24"/>
          <w:lang w:val="en-GB" w:eastAsia="en-GB"/>
        </w:rPr>
        <w:drawing>
          <wp:inline distT="0" distB="0" distL="0" distR="0">
            <wp:extent cx="5926455" cy="1688465"/>
            <wp:effectExtent l="0" t="0" r="444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0-13 at 12.32.20.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26455" cy="1688465"/>
                    </a:xfrm>
                    <a:prstGeom prst="rect">
                      <a:avLst/>
                    </a:prstGeom>
                  </pic:spPr>
                </pic:pic>
              </a:graphicData>
            </a:graphic>
          </wp:inline>
        </w:drawing>
      </w:r>
    </w:p>
    <w:p w:rsidR="000A3941" w:rsidRDefault="000A3941">
      <w:pPr>
        <w:rPr>
          <w:sz w:val="24"/>
          <w:szCs w:val="24"/>
        </w:rPr>
      </w:pPr>
      <w:r>
        <w:rPr>
          <w:sz w:val="24"/>
          <w:szCs w:val="24"/>
        </w:rPr>
        <w:br w:type="page"/>
      </w:r>
    </w:p>
    <w:tbl>
      <w:tblPr>
        <w:tblpPr w:leftFromText="180" w:rightFromText="180" w:vertAnchor="text" w:horzAnchor="margin" w:tblpY="38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tblPr>
      <w:tblGrid>
        <w:gridCol w:w="9351"/>
      </w:tblGrid>
      <w:tr w:rsidR="0009657C" w:rsidRPr="00942C79" w:rsidTr="001204F0">
        <w:trPr>
          <w:trHeight w:val="1287"/>
        </w:trPr>
        <w:tc>
          <w:tcPr>
            <w:tcW w:w="9351" w:type="dxa"/>
            <w:tcBorders>
              <w:bottom w:val="single" w:sz="4" w:space="0" w:color="auto"/>
            </w:tcBorders>
            <w:shd w:val="clear" w:color="auto" w:fill="92D050"/>
          </w:tcPr>
          <w:p w:rsidR="0009657C" w:rsidRDefault="0009657C" w:rsidP="0009657C">
            <w:pPr>
              <w:ind w:left="48"/>
              <w:jc w:val="center"/>
              <w:rPr>
                <w:b/>
                <w:color w:val="FFFFFF" w:themeColor="background1"/>
                <w:sz w:val="32"/>
                <w:szCs w:val="32"/>
              </w:rPr>
            </w:pPr>
            <w:r w:rsidRPr="003F288C">
              <w:rPr>
                <w:b/>
                <w:color w:val="FFFFFF" w:themeColor="background1"/>
                <w:sz w:val="32"/>
                <w:szCs w:val="32"/>
              </w:rPr>
              <w:lastRenderedPageBreak/>
              <w:t xml:space="preserve">JMP </w:t>
            </w:r>
            <w:r>
              <w:rPr>
                <w:b/>
                <w:color w:val="FFFFFF" w:themeColor="background1"/>
                <w:sz w:val="32"/>
                <w:szCs w:val="32"/>
              </w:rPr>
              <w:t>SANITATION</w:t>
            </w:r>
            <w:r w:rsidRPr="003F288C">
              <w:rPr>
                <w:b/>
                <w:color w:val="FFFFFF" w:themeColor="background1"/>
                <w:sz w:val="32"/>
                <w:szCs w:val="32"/>
              </w:rPr>
              <w:t xml:space="preserve"> LADDER - SDG ACCESS TO BASIC SERVICE 8</w:t>
            </w:r>
            <w:r w:rsidR="00F25079">
              <w:rPr>
                <w:b/>
                <w:color w:val="FFFFFF" w:themeColor="background1"/>
                <w:sz w:val="32"/>
                <w:szCs w:val="32"/>
              </w:rPr>
              <w:t>0</w:t>
            </w:r>
            <w:r w:rsidRPr="003F288C">
              <w:rPr>
                <w:b/>
                <w:color w:val="FFFFFF" w:themeColor="background1"/>
                <w:sz w:val="32"/>
                <w:szCs w:val="32"/>
              </w:rPr>
              <w:t xml:space="preserve">% </w:t>
            </w:r>
          </w:p>
          <w:p w:rsidR="0009657C" w:rsidRPr="00942C79" w:rsidRDefault="003B03E4" w:rsidP="0009657C">
            <w:pPr>
              <w:ind w:left="48"/>
              <w:jc w:val="center"/>
              <w:rPr>
                <w:b/>
                <w:color w:val="FFFFFF" w:themeColor="background1"/>
                <w:sz w:val="32"/>
                <w:szCs w:val="32"/>
              </w:rPr>
            </w:pPr>
            <w:r>
              <w:rPr>
                <w:b/>
                <w:color w:val="FFFFFF" w:themeColor="background1"/>
                <w:sz w:val="32"/>
                <w:szCs w:val="32"/>
              </w:rPr>
              <w:t>BASE YEAR = 2015 : Source Data Stats SA GHS</w:t>
            </w:r>
          </w:p>
        </w:tc>
      </w:tr>
    </w:tbl>
    <w:p w:rsidR="006F47C6" w:rsidRDefault="006F47C6" w:rsidP="003B2AC3">
      <w:pPr>
        <w:rPr>
          <w:sz w:val="24"/>
          <w:szCs w:val="24"/>
        </w:rPr>
      </w:pPr>
    </w:p>
    <w:p w:rsidR="00A65364" w:rsidRDefault="00D56BFA" w:rsidP="003B2AC3">
      <w:pPr>
        <w:rPr>
          <w:sz w:val="24"/>
          <w:szCs w:val="24"/>
        </w:rPr>
      </w:pPr>
      <w:r>
        <w:rPr>
          <w:noProof/>
          <w:sz w:val="24"/>
          <w:szCs w:val="24"/>
          <w:lang w:val="en-GB" w:eastAsia="en-GB"/>
        </w:rPr>
        <w:drawing>
          <wp:inline distT="0" distB="0" distL="0" distR="0">
            <wp:extent cx="5926455" cy="367855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13 at 12.50.04.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36706" cy="3684918"/>
                    </a:xfrm>
                    <a:prstGeom prst="rect">
                      <a:avLst/>
                    </a:prstGeom>
                  </pic:spPr>
                </pic:pic>
              </a:graphicData>
            </a:graphic>
          </wp:inline>
        </w:drawing>
      </w:r>
    </w:p>
    <w:p w:rsidR="008B21AD" w:rsidRDefault="008B21AD" w:rsidP="003B2AC3">
      <w:pPr>
        <w:rPr>
          <w:sz w:val="24"/>
          <w:szCs w:val="24"/>
        </w:rPr>
      </w:pPr>
      <w:r>
        <w:rPr>
          <w:noProof/>
          <w:sz w:val="24"/>
          <w:szCs w:val="24"/>
          <w:lang w:val="en-GB" w:eastAsia="en-GB"/>
        </w:rPr>
        <w:drawing>
          <wp:inline distT="0" distB="0" distL="0" distR="0">
            <wp:extent cx="2838894" cy="357124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10-13 at 12.57.52.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35072" cy="3692229"/>
                    </a:xfrm>
                    <a:prstGeom prst="rect">
                      <a:avLst/>
                    </a:prstGeom>
                  </pic:spPr>
                </pic:pic>
              </a:graphicData>
            </a:graphic>
          </wp:inline>
        </w:drawing>
      </w:r>
      <w:r w:rsidR="00F559C9">
        <w:rPr>
          <w:noProof/>
          <w:sz w:val="24"/>
          <w:szCs w:val="24"/>
          <w:lang w:val="en-GB" w:eastAsia="en-GB"/>
        </w:rPr>
        <w:drawing>
          <wp:inline distT="0" distB="0" distL="0" distR="0">
            <wp:extent cx="3008630" cy="356093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10-13 at 12.55.10.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80136" cy="3645571"/>
                    </a:xfrm>
                    <a:prstGeom prst="rect">
                      <a:avLst/>
                    </a:prstGeom>
                  </pic:spPr>
                </pic:pic>
              </a:graphicData>
            </a:graphic>
          </wp:inline>
        </w:drawing>
      </w:r>
    </w:p>
    <w:p w:rsidR="00C450B2" w:rsidRDefault="0019563E" w:rsidP="00593DAE">
      <w:pPr>
        <w:spacing w:after="0" w:line="360" w:lineRule="auto"/>
        <w:jc w:val="both"/>
        <w:rPr>
          <w:sz w:val="24"/>
          <w:szCs w:val="24"/>
        </w:rPr>
      </w:pPr>
      <w:r>
        <w:rPr>
          <w:sz w:val="24"/>
          <w:szCs w:val="24"/>
        </w:rPr>
        <w:t>South Africa has shown good progress in improving access to sanitation where</w:t>
      </w:r>
      <w:r w:rsidR="00800094">
        <w:rPr>
          <w:sz w:val="24"/>
          <w:szCs w:val="24"/>
        </w:rPr>
        <w:t>by</w:t>
      </w:r>
      <w:r>
        <w:rPr>
          <w:sz w:val="24"/>
          <w:szCs w:val="24"/>
        </w:rPr>
        <w:t xml:space="preserve"> in 2017 </w:t>
      </w:r>
      <w:r w:rsidR="00800094">
        <w:rPr>
          <w:sz w:val="24"/>
          <w:szCs w:val="24"/>
        </w:rPr>
        <w:t>access to improved sanitation was</w:t>
      </w:r>
      <w:r>
        <w:rPr>
          <w:sz w:val="24"/>
          <w:szCs w:val="24"/>
        </w:rPr>
        <w:t xml:space="preserve"> 83% which means a remaining target of growth of 17% over the </w:t>
      </w:r>
      <w:r>
        <w:rPr>
          <w:sz w:val="24"/>
          <w:szCs w:val="24"/>
        </w:rPr>
        <w:lastRenderedPageBreak/>
        <w:t>next 13 years</w:t>
      </w:r>
      <w:r w:rsidR="00C63267">
        <w:rPr>
          <w:sz w:val="24"/>
          <w:szCs w:val="24"/>
        </w:rPr>
        <w:t xml:space="preserve"> is need</w:t>
      </w:r>
      <w:r w:rsidR="00800094">
        <w:rPr>
          <w:sz w:val="24"/>
          <w:szCs w:val="24"/>
        </w:rPr>
        <w:t>ed</w:t>
      </w:r>
      <w:r>
        <w:rPr>
          <w:sz w:val="24"/>
          <w:szCs w:val="24"/>
        </w:rPr>
        <w:t xml:space="preserve">. This will require those servicing the municipal </w:t>
      </w:r>
      <w:r w:rsidR="00F45135">
        <w:rPr>
          <w:sz w:val="24"/>
          <w:szCs w:val="24"/>
        </w:rPr>
        <w:t>environment to review their policies and approaches to reduce the high number</w:t>
      </w:r>
      <w:r w:rsidR="00800094">
        <w:rPr>
          <w:sz w:val="24"/>
          <w:szCs w:val="24"/>
        </w:rPr>
        <w:t xml:space="preserve"> of</w:t>
      </w:r>
      <w:r w:rsidR="00F45135">
        <w:rPr>
          <w:sz w:val="24"/>
          <w:szCs w:val="24"/>
        </w:rPr>
        <w:t xml:space="preserve"> households sharing; limited at</w:t>
      </w:r>
      <w:r>
        <w:rPr>
          <w:sz w:val="24"/>
          <w:szCs w:val="24"/>
        </w:rPr>
        <w:t xml:space="preserve"> 17%</w:t>
      </w:r>
      <w:r w:rsidR="00F45135">
        <w:rPr>
          <w:sz w:val="24"/>
          <w:szCs w:val="24"/>
        </w:rPr>
        <w:t>. Much of this is due to rapid urbanisation which needs to be addressed in many aspects.The unimproved sanitation a</w:t>
      </w:r>
      <w:r w:rsidR="00800094">
        <w:rPr>
          <w:sz w:val="24"/>
          <w:szCs w:val="24"/>
        </w:rPr>
        <w:t>ccess, i.e. sanitation backlogs</w:t>
      </w:r>
      <w:r w:rsidR="00F45135">
        <w:rPr>
          <w:sz w:val="24"/>
          <w:szCs w:val="24"/>
        </w:rPr>
        <w:t xml:space="preserve"> in rural areas</w:t>
      </w:r>
      <w:r w:rsidR="00800094">
        <w:rPr>
          <w:sz w:val="24"/>
          <w:szCs w:val="24"/>
        </w:rPr>
        <w:t>,</w:t>
      </w:r>
      <w:r w:rsidR="00F45135">
        <w:rPr>
          <w:sz w:val="24"/>
          <w:szCs w:val="24"/>
        </w:rPr>
        <w:t xml:space="preserve"> is receiving special attention under the guidance of an Inter-Ministerial Task Team.</w:t>
      </w:r>
    </w:p>
    <w:p w:rsidR="00472A9E" w:rsidRDefault="00F45135" w:rsidP="00593DAE">
      <w:pPr>
        <w:spacing w:after="0" w:line="360" w:lineRule="auto"/>
        <w:jc w:val="both"/>
        <w:rPr>
          <w:sz w:val="24"/>
          <w:szCs w:val="24"/>
        </w:rPr>
      </w:pPr>
      <w:r>
        <w:rPr>
          <w:sz w:val="24"/>
          <w:szCs w:val="24"/>
        </w:rPr>
        <w:t>As open defecation is receiving much attention</w:t>
      </w:r>
      <w:r w:rsidR="00800094">
        <w:rPr>
          <w:sz w:val="24"/>
          <w:szCs w:val="24"/>
        </w:rPr>
        <w:t>,</w:t>
      </w:r>
      <w:r>
        <w:rPr>
          <w:sz w:val="24"/>
          <w:szCs w:val="24"/>
        </w:rPr>
        <w:t xml:space="preserve"> an additional question was asked in the household survey of Stats</w:t>
      </w:r>
      <w:r w:rsidR="00800094">
        <w:rPr>
          <w:sz w:val="24"/>
          <w:szCs w:val="24"/>
        </w:rPr>
        <w:t xml:space="preserve"> SA GHS 2017 and its outcomes are</w:t>
      </w:r>
      <w:r>
        <w:rPr>
          <w:sz w:val="24"/>
          <w:szCs w:val="24"/>
        </w:rPr>
        <w:t xml:space="preserve"> shown below:</w:t>
      </w:r>
    </w:p>
    <w:p w:rsidR="00593DAE" w:rsidRDefault="00593DAE" w:rsidP="00593DAE">
      <w:pPr>
        <w:spacing w:after="0" w:line="360" w:lineRule="auto"/>
        <w:jc w:val="both"/>
        <w:rPr>
          <w:sz w:val="24"/>
          <w:szCs w:val="24"/>
        </w:rPr>
      </w:pPr>
    </w:p>
    <w:p w:rsidR="002F1944" w:rsidRDefault="00B4246A" w:rsidP="00593DAE">
      <w:pPr>
        <w:spacing w:after="0" w:line="360" w:lineRule="auto"/>
        <w:rPr>
          <w:sz w:val="24"/>
          <w:szCs w:val="24"/>
        </w:rPr>
      </w:pPr>
      <w:r>
        <w:rPr>
          <w:noProof/>
          <w:sz w:val="24"/>
          <w:szCs w:val="24"/>
          <w:lang w:val="en-GB" w:eastAsia="en-GB"/>
        </w:rPr>
        <w:drawing>
          <wp:inline distT="0" distB="0" distL="0" distR="0">
            <wp:extent cx="5926455" cy="4109085"/>
            <wp:effectExtent l="0" t="0" r="444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10-13 at 22.10.38.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26455" cy="4109085"/>
                    </a:xfrm>
                    <a:prstGeom prst="rect">
                      <a:avLst/>
                    </a:prstGeom>
                  </pic:spPr>
                </pic:pic>
              </a:graphicData>
            </a:graphic>
          </wp:inline>
        </w:drawing>
      </w:r>
    </w:p>
    <w:p w:rsidR="002F1944" w:rsidRDefault="00F45135" w:rsidP="00593DAE">
      <w:pPr>
        <w:spacing w:after="0" w:line="360" w:lineRule="auto"/>
        <w:jc w:val="both"/>
        <w:rPr>
          <w:sz w:val="24"/>
          <w:szCs w:val="24"/>
        </w:rPr>
      </w:pPr>
      <w:r>
        <w:rPr>
          <w:sz w:val="24"/>
          <w:szCs w:val="24"/>
        </w:rPr>
        <w:t>Hygiene has been added to the SDG targets for sanitation and in 2016 discussions were held with Stats SA to include questions in the GHS. Recently in 2018</w:t>
      </w:r>
      <w:r w:rsidR="00800094">
        <w:rPr>
          <w:sz w:val="24"/>
          <w:szCs w:val="24"/>
        </w:rPr>
        <w:t>,</w:t>
      </w:r>
      <w:r>
        <w:rPr>
          <w:sz w:val="24"/>
          <w:szCs w:val="24"/>
        </w:rPr>
        <w:t xml:space="preserve"> the </w:t>
      </w:r>
      <w:r w:rsidR="00800094">
        <w:rPr>
          <w:sz w:val="24"/>
          <w:szCs w:val="24"/>
        </w:rPr>
        <w:t>results of GHS 2017 were</w:t>
      </w:r>
      <w:r>
        <w:rPr>
          <w:sz w:val="24"/>
          <w:szCs w:val="24"/>
        </w:rPr>
        <w:t xml:space="preserve"> released and the questions have been analysed and the results of the outcomes are shared below:</w:t>
      </w:r>
    </w:p>
    <w:p w:rsidR="00593DAE" w:rsidRDefault="00593DAE" w:rsidP="00593DAE">
      <w:pPr>
        <w:spacing w:after="0"/>
        <w:rPr>
          <w:sz w:val="24"/>
          <w:szCs w:val="24"/>
        </w:rPr>
      </w:pPr>
    </w:p>
    <w:p w:rsidR="00593DAE" w:rsidRDefault="00593DAE" w:rsidP="00593DAE">
      <w:pPr>
        <w:spacing w:after="0"/>
        <w:rPr>
          <w:sz w:val="24"/>
          <w:szCs w:val="24"/>
        </w:rPr>
      </w:pPr>
    </w:p>
    <w:p w:rsidR="00593DAE" w:rsidRDefault="00593DAE" w:rsidP="00593DAE">
      <w:pPr>
        <w:spacing w:after="0"/>
        <w:rPr>
          <w:sz w:val="24"/>
          <w:szCs w:val="24"/>
        </w:rPr>
      </w:pPr>
    </w:p>
    <w:p w:rsidR="00593DAE" w:rsidRDefault="00593DAE" w:rsidP="00593DAE">
      <w:pPr>
        <w:spacing w:after="0"/>
        <w:rPr>
          <w:sz w:val="24"/>
          <w:szCs w:val="24"/>
        </w:rPr>
      </w:pPr>
    </w:p>
    <w:p w:rsidR="00593DAE" w:rsidRDefault="00593DAE" w:rsidP="00593DAE">
      <w:pPr>
        <w:spacing w:after="0"/>
        <w:rPr>
          <w:sz w:val="24"/>
          <w:szCs w:val="24"/>
        </w:rPr>
      </w:pPr>
    </w:p>
    <w:p w:rsidR="00593DAE" w:rsidRDefault="00593DAE" w:rsidP="00593DAE">
      <w:pPr>
        <w:spacing w:after="0"/>
        <w:rPr>
          <w:sz w:val="24"/>
          <w:szCs w:val="24"/>
        </w:rPr>
      </w:pPr>
    </w:p>
    <w:p w:rsidR="00593DAE" w:rsidRDefault="00593DAE" w:rsidP="00593DAE">
      <w:pPr>
        <w:spacing w:after="0"/>
        <w:rPr>
          <w:sz w:val="24"/>
          <w:szCs w:val="24"/>
        </w:rPr>
      </w:pPr>
    </w:p>
    <w:p w:rsidR="00593DAE" w:rsidRDefault="00593DAE" w:rsidP="00593DAE">
      <w:pPr>
        <w:spacing w:after="0"/>
        <w:rPr>
          <w:sz w:val="24"/>
          <w:szCs w:val="24"/>
        </w:rPr>
      </w:pPr>
    </w:p>
    <w:p w:rsidR="00B30187" w:rsidRDefault="00593DAE" w:rsidP="00593DAE">
      <w:pPr>
        <w:spacing w:after="0"/>
        <w:rPr>
          <w:sz w:val="24"/>
          <w:szCs w:val="24"/>
        </w:rPr>
      </w:pPr>
      <w:r>
        <w:rPr>
          <w:sz w:val="24"/>
          <w:szCs w:val="24"/>
        </w:rPr>
        <w:lastRenderedPageBreak/>
        <w:t>JMP ladder for hygien</w:t>
      </w:r>
      <w:r w:rsidR="00F45135">
        <w:rPr>
          <w:sz w:val="24"/>
          <w:szCs w:val="24"/>
        </w:rPr>
        <w:t>e:</w:t>
      </w:r>
    </w:p>
    <w:p w:rsidR="00B30187" w:rsidRDefault="009D1BAD" w:rsidP="003B2AC3">
      <w:pPr>
        <w:rPr>
          <w:sz w:val="24"/>
          <w:szCs w:val="24"/>
        </w:rPr>
      </w:pPr>
      <w:r>
        <w:rPr>
          <w:noProof/>
          <w:sz w:val="24"/>
          <w:szCs w:val="24"/>
          <w:lang w:val="en-GB" w:eastAsia="en-GB"/>
        </w:rPr>
        <w:drawing>
          <wp:inline distT="0" distB="0" distL="0" distR="0">
            <wp:extent cx="2855742" cy="207089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0-14 at 18.35.27.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55742" cy="2070895"/>
                    </a:xfrm>
                    <a:prstGeom prst="rect">
                      <a:avLst/>
                    </a:prstGeom>
                  </pic:spPr>
                </pic:pic>
              </a:graphicData>
            </a:graphic>
          </wp:inline>
        </w:drawing>
      </w:r>
    </w:p>
    <w:p w:rsidR="00C72C7A" w:rsidRDefault="00C72C7A" w:rsidP="003B2AC3">
      <w:pPr>
        <w:rPr>
          <w:sz w:val="24"/>
          <w:szCs w:val="24"/>
        </w:rPr>
      </w:pPr>
    </w:p>
    <w:p w:rsidR="00C72C7A" w:rsidRDefault="00CE56B7" w:rsidP="003B2AC3">
      <w:pPr>
        <w:rPr>
          <w:sz w:val="24"/>
          <w:szCs w:val="24"/>
        </w:rPr>
      </w:pPr>
      <w:r>
        <w:rPr>
          <w:noProof/>
          <w:sz w:val="24"/>
          <w:szCs w:val="24"/>
          <w:lang w:val="en-GB" w:eastAsia="en-GB"/>
        </w:rPr>
        <w:drawing>
          <wp:inline distT="0" distB="0" distL="0" distR="0">
            <wp:extent cx="5816600" cy="435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10-14 at 19.53.04.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16600" cy="4356100"/>
                    </a:xfrm>
                    <a:prstGeom prst="rect">
                      <a:avLst/>
                    </a:prstGeom>
                  </pic:spPr>
                </pic:pic>
              </a:graphicData>
            </a:graphic>
          </wp:inline>
        </w:drawing>
      </w:r>
    </w:p>
    <w:p w:rsidR="00CE56B7" w:rsidRDefault="00F45135" w:rsidP="00593DAE">
      <w:pPr>
        <w:spacing w:after="0" w:line="360" w:lineRule="auto"/>
        <w:jc w:val="both"/>
        <w:rPr>
          <w:sz w:val="24"/>
          <w:szCs w:val="24"/>
        </w:rPr>
      </w:pPr>
      <w:r>
        <w:rPr>
          <w:sz w:val="24"/>
          <w:szCs w:val="24"/>
        </w:rPr>
        <w:t>The above r</w:t>
      </w:r>
      <w:r w:rsidR="00800094">
        <w:rPr>
          <w:sz w:val="24"/>
          <w:szCs w:val="24"/>
        </w:rPr>
        <w:t>esults are very recent and need</w:t>
      </w:r>
      <w:r>
        <w:rPr>
          <w:sz w:val="24"/>
          <w:szCs w:val="24"/>
        </w:rPr>
        <w:t xml:space="preserve"> to be shared and discussed with the sector</w:t>
      </w:r>
      <w:r w:rsidR="00FB28F9">
        <w:rPr>
          <w:sz w:val="24"/>
          <w:szCs w:val="24"/>
        </w:rPr>
        <w:t>. The indicator for limited service was not clear from the indicator but easily derived from the number of questions posed around hand washing habits in the GHS questionnaire.</w:t>
      </w:r>
      <w:bookmarkStart w:id="0" w:name="_GoBack"/>
      <w:bookmarkEnd w:id="0"/>
    </w:p>
    <w:p w:rsidR="00C63267" w:rsidRDefault="00C63267" w:rsidP="00593DAE">
      <w:pPr>
        <w:spacing w:before="100" w:beforeAutospacing="1" w:after="0" w:line="240" w:lineRule="auto"/>
        <w:rPr>
          <w:rFonts w:ascii="Arial" w:eastAsia="Times New Roman" w:hAnsi="Arial" w:cs="Arial"/>
          <w:b/>
          <w:bCs/>
          <w:sz w:val="36"/>
          <w:szCs w:val="36"/>
        </w:rPr>
      </w:pPr>
    </w:p>
    <w:sectPr w:rsidR="00C63267" w:rsidSect="00596120">
      <w:pgSz w:w="11906" w:h="16838"/>
      <w:pgMar w:top="993" w:right="1133"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42C79"/>
    <w:rsid w:val="00007978"/>
    <w:rsid w:val="00054F74"/>
    <w:rsid w:val="000631FF"/>
    <w:rsid w:val="00083939"/>
    <w:rsid w:val="0009038C"/>
    <w:rsid w:val="0009657C"/>
    <w:rsid w:val="000A3941"/>
    <w:rsid w:val="000F38EF"/>
    <w:rsid w:val="00107B89"/>
    <w:rsid w:val="001204F0"/>
    <w:rsid w:val="00133E2B"/>
    <w:rsid w:val="0013561C"/>
    <w:rsid w:val="00145E06"/>
    <w:rsid w:val="001607CB"/>
    <w:rsid w:val="00171812"/>
    <w:rsid w:val="00191815"/>
    <w:rsid w:val="0019563E"/>
    <w:rsid w:val="001B5776"/>
    <w:rsid w:val="001C15F2"/>
    <w:rsid w:val="001C1B8B"/>
    <w:rsid w:val="001D28AC"/>
    <w:rsid w:val="00220F83"/>
    <w:rsid w:val="00226988"/>
    <w:rsid w:val="002332CD"/>
    <w:rsid w:val="00243995"/>
    <w:rsid w:val="002C6BAE"/>
    <w:rsid w:val="002E09A3"/>
    <w:rsid w:val="002F1944"/>
    <w:rsid w:val="002F7F71"/>
    <w:rsid w:val="003068FA"/>
    <w:rsid w:val="00313503"/>
    <w:rsid w:val="003547A2"/>
    <w:rsid w:val="00357A07"/>
    <w:rsid w:val="00373288"/>
    <w:rsid w:val="0038683A"/>
    <w:rsid w:val="003B03E4"/>
    <w:rsid w:val="003B2AC3"/>
    <w:rsid w:val="003E6C07"/>
    <w:rsid w:val="003F36C6"/>
    <w:rsid w:val="003F47C2"/>
    <w:rsid w:val="00472A9E"/>
    <w:rsid w:val="004F7B90"/>
    <w:rsid w:val="00513513"/>
    <w:rsid w:val="00544F32"/>
    <w:rsid w:val="005725A1"/>
    <w:rsid w:val="00593DAE"/>
    <w:rsid w:val="00596120"/>
    <w:rsid w:val="005A1287"/>
    <w:rsid w:val="00601079"/>
    <w:rsid w:val="00613CD4"/>
    <w:rsid w:val="00632833"/>
    <w:rsid w:val="0064197B"/>
    <w:rsid w:val="006429E2"/>
    <w:rsid w:val="006505EF"/>
    <w:rsid w:val="0065155E"/>
    <w:rsid w:val="0066403F"/>
    <w:rsid w:val="0067605D"/>
    <w:rsid w:val="006816DA"/>
    <w:rsid w:val="006C7703"/>
    <w:rsid w:val="006C77F0"/>
    <w:rsid w:val="006E233E"/>
    <w:rsid w:val="006E3624"/>
    <w:rsid w:val="006F47C6"/>
    <w:rsid w:val="00722491"/>
    <w:rsid w:val="00746A24"/>
    <w:rsid w:val="00770CDB"/>
    <w:rsid w:val="007C0AAE"/>
    <w:rsid w:val="00800094"/>
    <w:rsid w:val="0080055B"/>
    <w:rsid w:val="00816C6A"/>
    <w:rsid w:val="00881D4F"/>
    <w:rsid w:val="008A1396"/>
    <w:rsid w:val="008B21AD"/>
    <w:rsid w:val="008E23B4"/>
    <w:rsid w:val="008F4038"/>
    <w:rsid w:val="00922859"/>
    <w:rsid w:val="00942C79"/>
    <w:rsid w:val="009A575C"/>
    <w:rsid w:val="009C6801"/>
    <w:rsid w:val="009D1BAD"/>
    <w:rsid w:val="009D294A"/>
    <w:rsid w:val="009D5D72"/>
    <w:rsid w:val="009E07AE"/>
    <w:rsid w:val="00A23667"/>
    <w:rsid w:val="00A4193A"/>
    <w:rsid w:val="00A65364"/>
    <w:rsid w:val="00AB20D3"/>
    <w:rsid w:val="00B04F4B"/>
    <w:rsid w:val="00B05189"/>
    <w:rsid w:val="00B30187"/>
    <w:rsid w:val="00B4246A"/>
    <w:rsid w:val="00B934DE"/>
    <w:rsid w:val="00BC405E"/>
    <w:rsid w:val="00C119F7"/>
    <w:rsid w:val="00C411A4"/>
    <w:rsid w:val="00C450B2"/>
    <w:rsid w:val="00C55C1F"/>
    <w:rsid w:val="00C63267"/>
    <w:rsid w:val="00C72C7A"/>
    <w:rsid w:val="00CA383A"/>
    <w:rsid w:val="00CA40A0"/>
    <w:rsid w:val="00CE56B7"/>
    <w:rsid w:val="00CF17FA"/>
    <w:rsid w:val="00D27BA3"/>
    <w:rsid w:val="00D56BFA"/>
    <w:rsid w:val="00D72136"/>
    <w:rsid w:val="00D725E9"/>
    <w:rsid w:val="00D91359"/>
    <w:rsid w:val="00E10A5B"/>
    <w:rsid w:val="00E161C1"/>
    <w:rsid w:val="00E5762A"/>
    <w:rsid w:val="00ED6AD4"/>
    <w:rsid w:val="00EE7411"/>
    <w:rsid w:val="00EF7EBA"/>
    <w:rsid w:val="00F15523"/>
    <w:rsid w:val="00F25079"/>
    <w:rsid w:val="00F32AF9"/>
    <w:rsid w:val="00F44102"/>
    <w:rsid w:val="00F45135"/>
    <w:rsid w:val="00F559C9"/>
    <w:rsid w:val="00FB0CA3"/>
    <w:rsid w:val="00FB28F9"/>
    <w:rsid w:val="00FB66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F2"/>
  </w:style>
  <w:style w:type="paragraph" w:styleId="Heading1">
    <w:name w:val="heading 1"/>
    <w:basedOn w:val="Normal"/>
    <w:next w:val="Normal"/>
    <w:link w:val="Heading1Char"/>
    <w:uiPriority w:val="9"/>
    <w:qFormat/>
    <w:rsid w:val="00942C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2C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C7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42C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2C7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236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6C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C6A"/>
    <w:rPr>
      <w:rFonts w:ascii="Times New Roman" w:hAnsi="Times New Roman" w:cs="Times New Roman"/>
      <w:sz w:val="18"/>
      <w:szCs w:val="18"/>
    </w:rPr>
  </w:style>
  <w:style w:type="character" w:styleId="Hyperlink">
    <w:name w:val="Hyperlink"/>
    <w:basedOn w:val="DefaultParagraphFont"/>
    <w:uiPriority w:val="99"/>
    <w:unhideWhenUsed/>
    <w:rsid w:val="00C55C1F"/>
    <w:rPr>
      <w:color w:val="0563C1" w:themeColor="hyperlink"/>
      <w:u w:val="single"/>
    </w:rPr>
  </w:style>
  <w:style w:type="character" w:customStyle="1" w:styleId="UnresolvedMention">
    <w:name w:val="Unresolved Mention"/>
    <w:basedOn w:val="DefaultParagraphFont"/>
    <w:uiPriority w:val="99"/>
    <w:semiHidden/>
    <w:unhideWhenUsed/>
    <w:rsid w:val="00C55C1F"/>
    <w:rPr>
      <w:color w:val="605E5C"/>
      <w:shd w:val="clear" w:color="auto" w:fill="E1DFDD"/>
    </w:rPr>
  </w:style>
  <w:style w:type="character" w:styleId="FollowedHyperlink">
    <w:name w:val="FollowedHyperlink"/>
    <w:basedOn w:val="DefaultParagraphFont"/>
    <w:uiPriority w:val="99"/>
    <w:semiHidden/>
    <w:unhideWhenUsed/>
    <w:rsid w:val="00C55C1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76564339">
      <w:bodyDiv w:val="1"/>
      <w:marLeft w:val="0"/>
      <w:marRight w:val="0"/>
      <w:marTop w:val="0"/>
      <w:marBottom w:val="0"/>
      <w:divBdr>
        <w:top w:val="none" w:sz="0" w:space="0" w:color="auto"/>
        <w:left w:val="none" w:sz="0" w:space="0" w:color="auto"/>
        <w:bottom w:val="none" w:sz="0" w:space="0" w:color="auto"/>
        <w:right w:val="none" w:sz="0" w:space="0" w:color="auto"/>
      </w:divBdr>
      <w:divsChild>
        <w:div w:id="524098862">
          <w:marLeft w:val="0"/>
          <w:marRight w:val="0"/>
          <w:marTop w:val="0"/>
          <w:marBottom w:val="0"/>
          <w:divBdr>
            <w:top w:val="none" w:sz="0" w:space="0" w:color="auto"/>
            <w:left w:val="none" w:sz="0" w:space="0" w:color="auto"/>
            <w:bottom w:val="none" w:sz="0" w:space="0" w:color="auto"/>
            <w:right w:val="none" w:sz="0" w:space="0" w:color="auto"/>
          </w:divBdr>
          <w:divsChild>
            <w:div w:id="708379832">
              <w:marLeft w:val="0"/>
              <w:marRight w:val="0"/>
              <w:marTop w:val="0"/>
              <w:marBottom w:val="0"/>
              <w:divBdr>
                <w:top w:val="none" w:sz="0" w:space="0" w:color="auto"/>
                <w:left w:val="none" w:sz="0" w:space="0" w:color="auto"/>
                <w:bottom w:val="none" w:sz="0" w:space="0" w:color="auto"/>
                <w:right w:val="none" w:sz="0" w:space="0" w:color="auto"/>
              </w:divBdr>
              <w:divsChild>
                <w:div w:id="21123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013">
      <w:bodyDiv w:val="1"/>
      <w:marLeft w:val="0"/>
      <w:marRight w:val="0"/>
      <w:marTop w:val="0"/>
      <w:marBottom w:val="0"/>
      <w:divBdr>
        <w:top w:val="none" w:sz="0" w:space="0" w:color="auto"/>
        <w:left w:val="none" w:sz="0" w:space="0" w:color="auto"/>
        <w:bottom w:val="none" w:sz="0" w:space="0" w:color="auto"/>
        <w:right w:val="none" w:sz="0" w:space="0" w:color="auto"/>
      </w:divBdr>
      <w:divsChild>
        <w:div w:id="643000062">
          <w:marLeft w:val="0"/>
          <w:marRight w:val="0"/>
          <w:marTop w:val="0"/>
          <w:marBottom w:val="0"/>
          <w:divBdr>
            <w:top w:val="none" w:sz="0" w:space="0" w:color="auto"/>
            <w:left w:val="none" w:sz="0" w:space="0" w:color="auto"/>
            <w:bottom w:val="none" w:sz="0" w:space="0" w:color="auto"/>
            <w:right w:val="none" w:sz="0" w:space="0" w:color="auto"/>
          </w:divBdr>
          <w:divsChild>
            <w:div w:id="49227649">
              <w:marLeft w:val="0"/>
              <w:marRight w:val="0"/>
              <w:marTop w:val="0"/>
              <w:marBottom w:val="0"/>
              <w:divBdr>
                <w:top w:val="none" w:sz="0" w:space="0" w:color="auto"/>
                <w:left w:val="none" w:sz="0" w:space="0" w:color="auto"/>
                <w:bottom w:val="none" w:sz="0" w:space="0" w:color="auto"/>
                <w:right w:val="none" w:sz="0" w:space="0" w:color="auto"/>
              </w:divBdr>
              <w:divsChild>
                <w:div w:id="1977903879">
                  <w:marLeft w:val="0"/>
                  <w:marRight w:val="0"/>
                  <w:marTop w:val="0"/>
                  <w:marBottom w:val="0"/>
                  <w:divBdr>
                    <w:top w:val="none" w:sz="0" w:space="0" w:color="auto"/>
                    <w:left w:val="none" w:sz="0" w:space="0" w:color="auto"/>
                    <w:bottom w:val="none" w:sz="0" w:space="0" w:color="auto"/>
                    <w:right w:val="none" w:sz="0" w:space="0" w:color="auto"/>
                  </w:divBdr>
                  <w:divsChild>
                    <w:div w:id="1988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43756">
      <w:bodyDiv w:val="1"/>
      <w:marLeft w:val="0"/>
      <w:marRight w:val="0"/>
      <w:marTop w:val="0"/>
      <w:marBottom w:val="0"/>
      <w:divBdr>
        <w:top w:val="none" w:sz="0" w:space="0" w:color="auto"/>
        <w:left w:val="none" w:sz="0" w:space="0" w:color="auto"/>
        <w:bottom w:val="none" w:sz="0" w:space="0" w:color="auto"/>
        <w:right w:val="none" w:sz="0" w:space="0" w:color="auto"/>
      </w:divBdr>
      <w:divsChild>
        <w:div w:id="1464347890">
          <w:marLeft w:val="0"/>
          <w:marRight w:val="0"/>
          <w:marTop w:val="0"/>
          <w:marBottom w:val="0"/>
          <w:divBdr>
            <w:top w:val="none" w:sz="0" w:space="0" w:color="auto"/>
            <w:left w:val="none" w:sz="0" w:space="0" w:color="auto"/>
            <w:bottom w:val="none" w:sz="0" w:space="0" w:color="auto"/>
            <w:right w:val="none" w:sz="0" w:space="0" w:color="auto"/>
          </w:divBdr>
          <w:divsChild>
            <w:div w:id="149517256">
              <w:marLeft w:val="0"/>
              <w:marRight w:val="0"/>
              <w:marTop w:val="0"/>
              <w:marBottom w:val="0"/>
              <w:divBdr>
                <w:top w:val="none" w:sz="0" w:space="0" w:color="auto"/>
                <w:left w:val="none" w:sz="0" w:space="0" w:color="auto"/>
                <w:bottom w:val="none" w:sz="0" w:space="0" w:color="auto"/>
                <w:right w:val="none" w:sz="0" w:space="0" w:color="auto"/>
              </w:divBdr>
              <w:divsChild>
                <w:div w:id="106317666">
                  <w:marLeft w:val="0"/>
                  <w:marRight w:val="0"/>
                  <w:marTop w:val="0"/>
                  <w:marBottom w:val="0"/>
                  <w:divBdr>
                    <w:top w:val="none" w:sz="0" w:space="0" w:color="auto"/>
                    <w:left w:val="none" w:sz="0" w:space="0" w:color="auto"/>
                    <w:bottom w:val="none" w:sz="0" w:space="0" w:color="auto"/>
                    <w:right w:val="none" w:sz="0" w:space="0" w:color="auto"/>
                  </w:divBdr>
                  <w:divsChild>
                    <w:div w:id="8062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19002">
      <w:bodyDiv w:val="1"/>
      <w:marLeft w:val="0"/>
      <w:marRight w:val="0"/>
      <w:marTop w:val="0"/>
      <w:marBottom w:val="0"/>
      <w:divBdr>
        <w:top w:val="none" w:sz="0" w:space="0" w:color="auto"/>
        <w:left w:val="none" w:sz="0" w:space="0" w:color="auto"/>
        <w:bottom w:val="none" w:sz="0" w:space="0" w:color="auto"/>
        <w:right w:val="none" w:sz="0" w:space="0" w:color="auto"/>
      </w:divBdr>
      <w:divsChild>
        <w:div w:id="2084831742">
          <w:marLeft w:val="0"/>
          <w:marRight w:val="0"/>
          <w:marTop w:val="0"/>
          <w:marBottom w:val="0"/>
          <w:divBdr>
            <w:top w:val="none" w:sz="0" w:space="0" w:color="auto"/>
            <w:left w:val="none" w:sz="0" w:space="0" w:color="auto"/>
            <w:bottom w:val="none" w:sz="0" w:space="0" w:color="auto"/>
            <w:right w:val="none" w:sz="0" w:space="0" w:color="auto"/>
          </w:divBdr>
          <w:divsChild>
            <w:div w:id="381027308">
              <w:marLeft w:val="0"/>
              <w:marRight w:val="0"/>
              <w:marTop w:val="0"/>
              <w:marBottom w:val="0"/>
              <w:divBdr>
                <w:top w:val="none" w:sz="0" w:space="0" w:color="auto"/>
                <w:left w:val="none" w:sz="0" w:space="0" w:color="auto"/>
                <w:bottom w:val="none" w:sz="0" w:space="0" w:color="auto"/>
                <w:right w:val="none" w:sz="0" w:space="0" w:color="auto"/>
              </w:divBdr>
              <w:divsChild>
                <w:div w:id="1038892073">
                  <w:marLeft w:val="0"/>
                  <w:marRight w:val="0"/>
                  <w:marTop w:val="0"/>
                  <w:marBottom w:val="0"/>
                  <w:divBdr>
                    <w:top w:val="none" w:sz="0" w:space="0" w:color="auto"/>
                    <w:left w:val="none" w:sz="0" w:space="0" w:color="auto"/>
                    <w:bottom w:val="none" w:sz="0" w:space="0" w:color="auto"/>
                    <w:right w:val="none" w:sz="0" w:space="0" w:color="auto"/>
                  </w:divBdr>
                  <w:divsChild>
                    <w:div w:id="17348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washdata.org"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E729-1E15-EE48-8E49-3EAC722B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Behrmann Dennis</dc:creator>
  <cp:keywords/>
  <dc:description/>
  <cp:lastModifiedBy>Bannister Mark</cp:lastModifiedBy>
  <cp:revision>105</cp:revision>
  <dcterms:created xsi:type="dcterms:W3CDTF">2018-10-12T12:57:00Z</dcterms:created>
  <dcterms:modified xsi:type="dcterms:W3CDTF">2018-10-15T07:34:00Z</dcterms:modified>
</cp:coreProperties>
</file>